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Times New Roman" w:hAnsi="Times New Roman" w:cs="Times New Roman"/>
          <w:b/>
          <w:bCs/>
          <w:color w:val="000000"/>
          <w:sz w:val="20"/>
          <w:szCs w:val="20"/>
        </w:rPr>
      </w:pPr>
      <w:r>
        <w:rPr>
          <w:rFonts w:hint="default" w:ascii="Times New Roman" w:hAnsi="Times New Roman" w:cs="Times New Roman"/>
          <w:b/>
          <w:bCs/>
          <w:color w:val="000000"/>
          <w:sz w:val="20"/>
          <w:szCs w:val="20"/>
        </w:rPr>
        <w:t>EDITAL DE PREGÃO ELETRÔNICO</w:t>
      </w:r>
    </w:p>
    <w:p>
      <w:pPr>
        <w:jc w:val="center"/>
        <w:rPr>
          <w:rFonts w:hint="default" w:ascii="Times New Roman" w:hAnsi="Times New Roman" w:cs="Times New Roman"/>
          <w:b/>
          <w:bCs/>
          <w:iCs/>
          <w:sz w:val="20"/>
          <w:szCs w:val="20"/>
          <w:lang w:val="pt-BR"/>
        </w:rPr>
      </w:pPr>
      <w:r>
        <w:rPr>
          <w:rFonts w:hint="default" w:ascii="Times New Roman" w:hAnsi="Times New Roman" w:cs="Times New Roman"/>
          <w:b/>
          <w:bCs/>
          <w:iCs/>
          <w:sz w:val="20"/>
          <w:szCs w:val="20"/>
        </w:rPr>
        <w:t xml:space="preserve">PROCESSO N. </w:t>
      </w:r>
      <w:r>
        <w:rPr>
          <w:rFonts w:hint="default" w:ascii="Times New Roman" w:hAnsi="Times New Roman" w:cs="Times New Roman"/>
          <w:b/>
          <w:bCs/>
          <w:iCs/>
          <w:sz w:val="20"/>
          <w:szCs w:val="20"/>
          <w:lang w:val="pt-BR"/>
        </w:rPr>
        <w:t>09/2023</w:t>
      </w:r>
    </w:p>
    <w:p>
      <w:pPr>
        <w:jc w:val="center"/>
        <w:rPr>
          <w:rFonts w:hint="default" w:ascii="Times New Roman" w:hAnsi="Times New Roman" w:cs="Times New Roman"/>
          <w:b/>
          <w:bCs/>
          <w:iCs/>
          <w:sz w:val="20"/>
          <w:szCs w:val="20"/>
          <w:lang w:val="pt-BR"/>
        </w:rPr>
      </w:pPr>
      <w:r>
        <w:rPr>
          <w:rFonts w:hint="default" w:ascii="Times New Roman" w:hAnsi="Times New Roman" w:cs="Times New Roman"/>
          <w:b/>
          <w:bCs/>
          <w:iCs/>
          <w:sz w:val="20"/>
          <w:szCs w:val="20"/>
        </w:rPr>
        <w:t xml:space="preserve">PREGÃO N. </w:t>
      </w:r>
      <w:r>
        <w:rPr>
          <w:rFonts w:hint="default" w:ascii="Times New Roman" w:hAnsi="Times New Roman" w:cs="Times New Roman"/>
          <w:b/>
          <w:bCs/>
          <w:iCs/>
          <w:sz w:val="20"/>
          <w:szCs w:val="20"/>
          <w:lang w:val="pt-BR"/>
        </w:rPr>
        <w:t>03/2023</w:t>
      </w:r>
    </w:p>
    <w:p>
      <w:pPr>
        <w:jc w:val="center"/>
        <w:rPr>
          <w:rFonts w:hint="default" w:ascii="Times New Roman" w:hAnsi="Times New Roman" w:cs="Times New Roman"/>
          <w:b/>
          <w:bCs/>
          <w:iCs/>
          <w:sz w:val="20"/>
          <w:szCs w:val="20"/>
          <w:lang w:val="pt-BR"/>
        </w:rPr>
      </w:pPr>
      <w:r>
        <w:rPr>
          <w:rFonts w:hint="default" w:ascii="Times New Roman" w:hAnsi="Times New Roman" w:cs="Times New Roman"/>
          <w:b/>
          <w:bCs/>
          <w:iCs/>
          <w:sz w:val="20"/>
          <w:szCs w:val="20"/>
        </w:rPr>
        <w:t xml:space="preserve">REGISTRO DE PREÇOS N. </w:t>
      </w:r>
      <w:r>
        <w:rPr>
          <w:rFonts w:hint="default" w:ascii="Times New Roman" w:hAnsi="Times New Roman" w:cs="Times New Roman"/>
          <w:b/>
          <w:bCs/>
          <w:iCs/>
          <w:sz w:val="20"/>
          <w:szCs w:val="20"/>
          <w:lang w:val="pt-BR"/>
        </w:rPr>
        <w:t>03/2023</w:t>
      </w:r>
    </w:p>
    <w:p>
      <w:pPr>
        <w:jc w:val="center"/>
        <w:rPr>
          <w:rFonts w:hint="default" w:ascii="Times New Roman" w:hAnsi="Times New Roman" w:cs="Times New Roman"/>
          <w:b/>
          <w:bCs/>
          <w:iCs/>
          <w:sz w:val="20"/>
          <w:szCs w:val="20"/>
          <w:lang w:val="pt-BR"/>
        </w:rPr>
      </w:pPr>
    </w:p>
    <w:p>
      <w:pPr>
        <w:jc w:val="both"/>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 xml:space="preserve">Torna-se público, para conhecimento dos interessados, que o CONSÓRCIO INTERMUNICIPAL DE SAÚDE DA MICRORREGIÃO DE VIÇOSA – CISMIV, portador do CNPJ nº 02.326.365/0001-36, sediado na Rua José dos Santos, 120, Centro, Viçosa – MG, CEP 36570-135, registrado como Unidade de Administração de Serviços Gerais do Governo Federal – UASG sob o nº 927964 realizará licitação, para registro de preços, na modalidade PREGÃO, na forma ELETRÔNICA, </w:t>
      </w:r>
      <w:r>
        <w:rPr>
          <w:rFonts w:hint="default" w:ascii="Times New Roman" w:hAnsi="Times New Roman" w:cs="Times New Roman"/>
          <w:b/>
          <w:bCs/>
          <w:color w:val="000000"/>
          <w:sz w:val="20"/>
          <w:szCs w:val="20"/>
        </w:rPr>
        <w:t xml:space="preserve">do </w:t>
      </w:r>
      <w:r>
        <w:rPr>
          <w:rFonts w:hint="default" w:ascii="Times New Roman" w:hAnsi="Times New Roman" w:cs="Times New Roman"/>
          <w:b/>
          <w:bCs/>
          <w:iCs/>
          <w:color w:val="000000"/>
          <w:sz w:val="20"/>
          <w:szCs w:val="20"/>
        </w:rPr>
        <w:t xml:space="preserve">tipo menor preço </w:t>
      </w:r>
      <w:r>
        <w:rPr>
          <w:rFonts w:hint="default" w:ascii="Times New Roman" w:hAnsi="Times New Roman" w:cs="Times New Roman"/>
          <w:b/>
          <w:bCs/>
          <w:color w:val="000000"/>
          <w:sz w:val="20"/>
          <w:szCs w:val="20"/>
        </w:rPr>
        <w:t>por item</w:t>
      </w:r>
      <w:r>
        <w:rPr>
          <w:rFonts w:hint="default" w:ascii="Times New Roman" w:hAnsi="Times New Roman" w:cs="Times New Roman"/>
          <w:color w:val="000000"/>
          <w:sz w:val="20"/>
          <w:szCs w:val="20"/>
        </w:rPr>
        <w:t xml:space="preserve"> nos termos da Lei Federal nº 10.520 de 17 de julho de 2002, Decreto nº02/2020 do CISMIV, Portaria n° 41 de 30 de julho 2019 do CISMIV, da Lei Complementar Federal n° 123 de 14 de dezembro de 2006, aplicando-se, subsidiariamente, a Lei Federal nº 8.666 de 21 de junho de 1993, e as exigências estabelecidas neste Edital. Registra-se que o presente processo licitatório na modalidade pregão na forma eletrônica, será realizado através do Portal de Compras do Governo Federal, considerando Termo de Acesso concedido ao CISMIV pelo Ministério da Economia. </w:t>
      </w:r>
    </w:p>
    <w:p>
      <w:pPr>
        <w:spacing w:line="276" w:lineRule="auto"/>
        <w:jc w:val="both"/>
        <w:rPr>
          <w:rFonts w:hint="default" w:ascii="Times New Roman" w:hAnsi="Times New Roman" w:cs="Times New Roman"/>
          <w:color w:val="000000"/>
          <w:sz w:val="20"/>
          <w:szCs w:val="20"/>
        </w:rPr>
      </w:pPr>
    </w:p>
    <w:p>
      <w:pPr>
        <w:spacing w:line="276" w:lineRule="auto"/>
        <w:jc w:val="both"/>
        <w:rPr>
          <w:rFonts w:hint="default" w:ascii="Times New Roman" w:hAnsi="Times New Roman" w:cs="Times New Roman"/>
          <w:sz w:val="20"/>
          <w:szCs w:val="20"/>
          <w:lang w:val="pt-BR"/>
        </w:rPr>
      </w:pPr>
      <w:r>
        <w:rPr>
          <w:rFonts w:hint="default" w:ascii="Times New Roman" w:hAnsi="Times New Roman" w:cs="Times New Roman"/>
          <w:color w:val="000000"/>
          <w:sz w:val="20"/>
          <w:szCs w:val="20"/>
        </w:rPr>
        <w:t>Data da sessão:</w:t>
      </w:r>
      <w:r>
        <w:rPr>
          <w:rFonts w:hint="default" w:ascii="Times New Roman" w:hAnsi="Times New Roman" w:cs="Times New Roman"/>
          <w:b/>
          <w:bCs/>
          <w:color w:val="000000"/>
          <w:sz w:val="20"/>
          <w:szCs w:val="20"/>
          <w:lang w:val="pt-BR"/>
        </w:rPr>
        <w:t>14/04/2023</w:t>
      </w:r>
    </w:p>
    <w:p>
      <w:pPr>
        <w:spacing w:line="276" w:lineRule="auto"/>
        <w:rPr>
          <w:rFonts w:hint="default" w:ascii="Times New Roman" w:hAnsi="Times New Roman" w:cs="Times New Roman"/>
          <w:sz w:val="20"/>
          <w:szCs w:val="20"/>
        </w:rPr>
      </w:pPr>
      <w:r>
        <w:rPr>
          <w:rFonts w:hint="default" w:ascii="Times New Roman" w:hAnsi="Times New Roman" w:cs="Times New Roman"/>
          <w:color w:val="000000"/>
          <w:sz w:val="20"/>
          <w:szCs w:val="20"/>
        </w:rPr>
        <w:t xml:space="preserve">Horário: </w:t>
      </w:r>
      <w:r>
        <w:rPr>
          <w:rFonts w:hint="default" w:ascii="Times New Roman" w:hAnsi="Times New Roman" w:cs="Times New Roman"/>
          <w:b/>
          <w:color w:val="000000"/>
          <w:sz w:val="20"/>
          <w:szCs w:val="20"/>
        </w:rPr>
        <w:t>09:00 h</w:t>
      </w:r>
    </w:p>
    <w:p>
      <w:pPr>
        <w:spacing w:line="276" w:lineRule="auto"/>
        <w:rPr>
          <w:rFonts w:hint="default" w:ascii="Times New Roman" w:hAnsi="Times New Roman" w:cs="Times New Roman"/>
          <w:sz w:val="20"/>
          <w:szCs w:val="20"/>
        </w:rPr>
      </w:pPr>
      <w:r>
        <w:rPr>
          <w:rFonts w:hint="default" w:ascii="Times New Roman" w:hAnsi="Times New Roman" w:cs="Times New Roman"/>
          <w:color w:val="000000"/>
          <w:sz w:val="20"/>
          <w:szCs w:val="20"/>
        </w:rPr>
        <w:t>Local: Portal de Compras do Governo Federal – www.compras.gov.br</w:t>
      </w:r>
    </w:p>
    <w:p>
      <w:pPr>
        <w:pStyle w:val="38"/>
        <w:numPr>
          <w:ilvl w:val="0"/>
          <w:numId w:val="2"/>
        </w:numPr>
        <w:ind w:left="0" w:firstLine="0"/>
        <w:rPr>
          <w:rFonts w:hint="default" w:ascii="Times New Roman" w:hAnsi="Times New Roman" w:cs="Times New Roman"/>
        </w:rPr>
      </w:pPr>
      <w:r>
        <w:rPr>
          <w:rFonts w:hint="default" w:ascii="Times New Roman" w:hAnsi="Times New Roman" w:cs="Times New Roman"/>
        </w:rPr>
        <w:t>DO OBJETO</w:t>
      </w:r>
    </w:p>
    <w:p>
      <w:pPr>
        <w:jc w:val="both"/>
        <w:rPr>
          <w:rFonts w:hint="default" w:ascii="Times New Roman" w:hAnsi="Times New Roman" w:cs="Times New Roman"/>
          <w:color w:val="000000"/>
          <w:sz w:val="20"/>
          <w:szCs w:val="20"/>
          <w:lang w:val="pt-BR"/>
        </w:rPr>
      </w:pPr>
      <w:r>
        <w:rPr>
          <w:rFonts w:hint="default" w:ascii="Times New Roman" w:hAnsi="Times New Roman" w:cs="Times New Roman"/>
          <w:color w:val="000000"/>
          <w:sz w:val="20"/>
          <w:szCs w:val="20"/>
        </w:rPr>
        <w:t xml:space="preserve">O objeto da presente licitação é a escolha da proposta mais vantajosa para </w:t>
      </w:r>
      <w:bookmarkStart w:id="0" w:name="_Hlk60809705"/>
      <w:r>
        <w:rPr>
          <w:rFonts w:hint="default" w:ascii="Times New Roman" w:hAnsi="Times New Roman" w:cs="Times New Roman"/>
          <w:color w:val="000000"/>
          <w:sz w:val="20"/>
          <w:szCs w:val="20"/>
        </w:rPr>
        <w:t>o</w:t>
      </w:r>
      <w:bookmarkEnd w:id="0"/>
      <w:r>
        <w:rPr>
          <w:rFonts w:hint="default" w:ascii="Times New Roman" w:hAnsi="Times New Roman" w:cs="Times New Roman"/>
          <w:color w:val="000000"/>
          <w:sz w:val="20"/>
          <w:szCs w:val="20"/>
        </w:rPr>
        <w:t xml:space="preserve"> Registro de Preços para futura e eventual aquisição de testes rápidos imunocromáticos para detecção qualitativa do antígeno NS1 do vírus da Dengue, em amostra humana de sangue total, soro ou plasma, para auxiliar no diagnóstico das infecções por dengue, fundamentada no art. 112 da Lei nº8666/93</w:t>
      </w:r>
    </w:p>
    <w:p>
      <w:pPr>
        <w:numPr>
          <w:ilvl w:val="1"/>
          <w:numId w:val="2"/>
        </w:numPr>
        <w:spacing w:before="120" w:after="120" w:line="276" w:lineRule="auto"/>
        <w:ind w:left="0" w:firstLine="0"/>
        <w:jc w:val="both"/>
        <w:rPr>
          <w:rFonts w:hint="default" w:ascii="Times New Roman" w:hAnsi="Times New Roman" w:cs="Times New Roman"/>
          <w:sz w:val="20"/>
          <w:szCs w:val="20"/>
        </w:rPr>
      </w:pPr>
      <w:r>
        <w:rPr>
          <w:rFonts w:hint="default" w:ascii="Times New Roman" w:hAnsi="Times New Roman" w:cs="Times New Roman"/>
          <w:sz w:val="20"/>
          <w:szCs w:val="20"/>
        </w:rPr>
        <w:t>A licitação será menor preço por item, conforme itens constantes do</w:t>
      </w:r>
      <w:r>
        <w:rPr>
          <w:rFonts w:hint="default" w:ascii="Times New Roman" w:hAnsi="Times New Roman" w:cs="Times New Roman"/>
          <w:sz w:val="20"/>
          <w:szCs w:val="20"/>
          <w:lang w:val="pt-BR"/>
        </w:rPr>
        <w:t xml:space="preserve"> Termo de Referência</w:t>
      </w:r>
      <w:r>
        <w:rPr>
          <w:rFonts w:hint="default" w:ascii="Times New Roman" w:hAnsi="Times New Roman" w:cs="Times New Roman"/>
          <w:sz w:val="20"/>
          <w:szCs w:val="20"/>
        </w:rPr>
        <w:t xml:space="preserve">. </w:t>
      </w:r>
    </w:p>
    <w:p>
      <w:pPr>
        <w:pStyle w:val="44"/>
        <w:keepNext w:val="0"/>
        <w:widowControl/>
        <w:numPr>
          <w:ilvl w:val="1"/>
          <w:numId w:val="2"/>
        </w:numPr>
        <w:shd w:val="clear" w:color="auto" w:fill="auto"/>
        <w:spacing w:before="120" w:after="120"/>
        <w:ind w:left="0" w:firstLine="0"/>
        <w:rPr>
          <w:rFonts w:hint="default" w:ascii="Times New Roman" w:hAnsi="Times New Roman" w:cs="Times New Roman"/>
          <w:szCs w:val="20"/>
          <w:lang w:eastAsia="en-US"/>
        </w:rPr>
      </w:pPr>
      <w:r>
        <w:rPr>
          <w:rFonts w:hint="default" w:ascii="Times New Roman" w:hAnsi="Times New Roman" w:cs="Times New Roman"/>
          <w:szCs w:val="20"/>
        </w:rPr>
        <w:t>O critério de julgamento adotado será o menor preço por item, observadas as exigências contidas neste Edital e seus Anexos quanto às especificações do objeto.</w:t>
      </w:r>
    </w:p>
    <w:p>
      <w:pPr>
        <w:pStyle w:val="44"/>
        <w:keepNext w:val="0"/>
        <w:widowControl/>
        <w:numPr>
          <w:ilvl w:val="1"/>
          <w:numId w:val="2"/>
        </w:numPr>
        <w:shd w:val="clear" w:color="auto" w:fill="auto"/>
        <w:spacing w:before="120" w:after="120"/>
        <w:ind w:left="0" w:firstLine="0"/>
        <w:rPr>
          <w:rFonts w:hint="default" w:ascii="Times New Roman" w:hAnsi="Times New Roman" w:cs="Times New Roman"/>
          <w:szCs w:val="20"/>
          <w:lang w:eastAsia="en-US"/>
        </w:rPr>
      </w:pPr>
      <w:r>
        <w:rPr>
          <w:rFonts w:hint="default" w:ascii="Times New Roman" w:hAnsi="Times New Roman"/>
          <w:szCs w:val="20"/>
          <w:lang w:val="pt-BR" w:eastAsia="en-US"/>
        </w:rPr>
        <w:t>O certame será r</w:t>
      </w:r>
      <w:r>
        <w:rPr>
          <w:rFonts w:hint="default" w:ascii="Times New Roman" w:hAnsi="Times New Roman"/>
          <w:szCs w:val="20"/>
          <w:lang w:eastAsia="en-US"/>
        </w:rPr>
        <w:t>ealizado com fulcro no § 1º, do artigo 112, da Lei Federal nº 8.666/1993,</w:t>
      </w:r>
      <w:r>
        <w:rPr>
          <w:rFonts w:hint="default" w:ascii="Times New Roman" w:hAnsi="Times New Roman"/>
          <w:szCs w:val="20"/>
          <w:lang w:val="pt-BR" w:eastAsia="en-US"/>
        </w:rPr>
        <w:t xml:space="preserve"> </w:t>
      </w:r>
      <w:r>
        <w:rPr>
          <w:rFonts w:hint="default" w:ascii="Times New Roman" w:hAnsi="Times New Roman"/>
          <w:szCs w:val="20"/>
          <w:lang w:eastAsia="en-US"/>
        </w:rPr>
        <w:t>com redação incluída pela Lei Federal nº 11.107/2005, sendo que, uma vez adjudicado o objeto</w:t>
      </w:r>
      <w:r>
        <w:rPr>
          <w:rFonts w:hint="default" w:ascii="Times New Roman" w:hAnsi="Times New Roman"/>
          <w:szCs w:val="20"/>
          <w:lang w:val="pt-BR" w:eastAsia="en-US"/>
        </w:rPr>
        <w:t xml:space="preserve"> </w:t>
      </w:r>
      <w:r>
        <w:rPr>
          <w:rFonts w:hint="default" w:ascii="Times New Roman" w:hAnsi="Times New Roman"/>
          <w:szCs w:val="20"/>
          <w:lang w:eastAsia="en-US"/>
        </w:rPr>
        <w:t xml:space="preserve">e homologado o procedimento, dele </w:t>
      </w:r>
      <w:r>
        <w:rPr>
          <w:rFonts w:hint="default" w:ascii="Times New Roman" w:hAnsi="Times New Roman"/>
          <w:szCs w:val="20"/>
          <w:lang w:val="pt-BR" w:eastAsia="en-US"/>
        </w:rPr>
        <w:t>podendo decorrer</w:t>
      </w:r>
      <w:r>
        <w:rPr>
          <w:rFonts w:hint="default" w:ascii="Times New Roman" w:hAnsi="Times New Roman"/>
          <w:szCs w:val="20"/>
          <w:lang w:eastAsia="en-US"/>
        </w:rPr>
        <w:t xml:space="preserve"> contratos administrativos a serem celebrados porcada um dos entes consorciados, individualmente.</w:t>
      </w:r>
    </w:p>
    <w:p>
      <w:pPr>
        <w:pStyle w:val="38"/>
        <w:numPr>
          <w:ilvl w:val="0"/>
          <w:numId w:val="2"/>
        </w:numPr>
        <w:ind w:left="0" w:firstLine="0"/>
        <w:rPr>
          <w:rFonts w:hint="default" w:ascii="Times New Roman" w:hAnsi="Times New Roman" w:cs="Times New Roman"/>
        </w:rPr>
      </w:pPr>
      <w:r>
        <w:rPr>
          <w:rFonts w:hint="default" w:ascii="Times New Roman" w:hAnsi="Times New Roman" w:cs="Times New Roman"/>
        </w:rPr>
        <w:t>DO CREDENCIAMENTO</w:t>
      </w:r>
    </w:p>
    <w:p>
      <w:pPr>
        <w:numPr>
          <w:ilvl w:val="1"/>
          <w:numId w:val="2"/>
        </w:numPr>
        <w:spacing w:before="120" w:after="120" w:line="276" w:lineRule="auto"/>
        <w:ind w:left="0" w:firstLine="0"/>
        <w:jc w:val="both"/>
        <w:rPr>
          <w:rFonts w:hint="default" w:ascii="Times New Roman" w:hAnsi="Times New Roman" w:cs="Times New Roman"/>
          <w:color w:val="000000"/>
          <w:sz w:val="20"/>
          <w:szCs w:val="20"/>
        </w:rPr>
      </w:pPr>
      <w:r>
        <w:rPr>
          <w:rFonts w:hint="default" w:ascii="Times New Roman" w:hAnsi="Times New Roman" w:cs="Times New Roman"/>
          <w:bCs/>
          <w:iCs/>
          <w:color w:val="000000"/>
          <w:sz w:val="20"/>
          <w:szCs w:val="20"/>
        </w:rPr>
        <w:t>O Credenciamento é o nível básico do registro cadastral no SICAF, que permite a participação dos interessados na modalidade licitatória Pregão, em sua forma eletrônica.</w:t>
      </w:r>
    </w:p>
    <w:p>
      <w:pPr>
        <w:numPr>
          <w:ilvl w:val="1"/>
          <w:numId w:val="2"/>
        </w:numPr>
        <w:spacing w:before="120" w:after="120" w:line="276" w:lineRule="auto"/>
        <w:ind w:left="0" w:firstLine="0"/>
        <w:jc w:val="both"/>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 xml:space="preserve">O cadastro no SICAF deverá ser feito no Portal de Compras do Governo Federal, no sítio </w:t>
      </w:r>
      <w:r>
        <w:rPr>
          <w:rFonts w:hint="default" w:ascii="Times New Roman" w:hAnsi="Times New Roman" w:cs="Times New Roman"/>
        </w:rPr>
        <w:fldChar w:fldCharType="begin"/>
      </w:r>
      <w:r>
        <w:rPr>
          <w:rFonts w:hint="default" w:ascii="Times New Roman" w:hAnsi="Times New Roman" w:cs="Times New Roman"/>
        </w:rPr>
        <w:instrText xml:space="preserve"> HYPERLINK "http://www.compras.gov.br" </w:instrText>
      </w:r>
      <w:r>
        <w:rPr>
          <w:rFonts w:hint="default" w:ascii="Times New Roman" w:hAnsi="Times New Roman" w:cs="Times New Roman"/>
        </w:rPr>
        <w:fldChar w:fldCharType="separate"/>
      </w:r>
      <w:r>
        <w:rPr>
          <w:rStyle w:val="11"/>
          <w:rFonts w:hint="default" w:ascii="Times New Roman" w:hAnsi="Times New Roman" w:cs="Times New Roman"/>
          <w:sz w:val="20"/>
          <w:szCs w:val="20"/>
        </w:rPr>
        <w:t>www.compras.gov.br</w:t>
      </w:r>
      <w:r>
        <w:rPr>
          <w:rStyle w:val="11"/>
          <w:rFonts w:hint="default" w:ascii="Times New Roman" w:hAnsi="Times New Roman" w:cs="Times New Roman"/>
          <w:sz w:val="20"/>
          <w:szCs w:val="20"/>
        </w:rPr>
        <w:fldChar w:fldCharType="end"/>
      </w:r>
      <w:r>
        <w:rPr>
          <w:rFonts w:hint="default" w:ascii="Times New Roman" w:hAnsi="Times New Roman" w:cs="Times New Roman"/>
          <w:color w:val="000000"/>
          <w:sz w:val="20"/>
          <w:szCs w:val="20"/>
        </w:rPr>
        <w:t>, por meio de certificado digital conferido pela Infraestrutura de Chaves Públicas Brasileira – ICP - Brasil.</w:t>
      </w:r>
    </w:p>
    <w:p>
      <w:pPr>
        <w:numPr>
          <w:ilvl w:val="1"/>
          <w:numId w:val="2"/>
        </w:numPr>
        <w:spacing w:before="120" w:after="120" w:line="276" w:lineRule="auto"/>
        <w:ind w:left="0" w:firstLine="0"/>
        <w:jc w:val="both"/>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O credenciamento junto ao provedor do sistema implica a responsabilidade do licitante ou de seu representante legal e a presunção de sua capacidade técnica para realização das transações inerentes a este Pregão.</w:t>
      </w:r>
    </w:p>
    <w:p>
      <w:pPr>
        <w:numPr>
          <w:ilvl w:val="1"/>
          <w:numId w:val="2"/>
        </w:numPr>
        <w:spacing w:before="120" w:after="120" w:line="276" w:lineRule="auto"/>
        <w:ind w:left="0" w:firstLine="0"/>
        <w:jc w:val="both"/>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numPr>
          <w:ilvl w:val="1"/>
          <w:numId w:val="2"/>
        </w:numPr>
        <w:spacing w:line="276" w:lineRule="auto"/>
        <w:ind w:left="0" w:firstLine="0"/>
        <w:jc w:val="both"/>
        <w:rPr>
          <w:rFonts w:hint="default" w:ascii="Times New Roman" w:hAnsi="Times New Roman" w:cs="Times New Roman"/>
          <w:sz w:val="20"/>
          <w:szCs w:val="20"/>
        </w:rPr>
      </w:pPr>
      <w:r>
        <w:rPr>
          <w:rFonts w:hint="default" w:ascii="Times New Roman" w:hAnsi="Times New Roman" w:cs="Times New Roman"/>
          <w:sz w:val="20"/>
          <w:szCs w:val="20"/>
        </w:rPr>
        <w:t>É de responsabilidade do cadastrado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pPr>
        <w:numPr>
          <w:ilvl w:val="2"/>
          <w:numId w:val="2"/>
        </w:numPr>
        <w:snapToGrid w:val="0"/>
        <w:spacing w:line="360" w:lineRule="auto"/>
        <w:ind w:left="0" w:firstLine="0"/>
        <w:jc w:val="both"/>
        <w:rPr>
          <w:rFonts w:hint="default" w:ascii="Times New Roman" w:hAnsi="Times New Roman" w:cs="Times New Roman"/>
          <w:bCs/>
          <w:color w:val="000000"/>
          <w:sz w:val="20"/>
          <w:szCs w:val="20"/>
        </w:rPr>
      </w:pPr>
      <w:r>
        <w:rPr>
          <w:rFonts w:hint="default" w:ascii="Times New Roman" w:hAnsi="Times New Roman" w:cs="Times New Roman"/>
          <w:color w:val="000000"/>
          <w:sz w:val="20"/>
          <w:szCs w:val="20"/>
        </w:rPr>
        <w:t>A não observância do disposto no subitem anterior poderá ensejar desclassificação no momento da habilitação</w:t>
      </w:r>
    </w:p>
    <w:p>
      <w:pPr>
        <w:pStyle w:val="38"/>
        <w:numPr>
          <w:ilvl w:val="0"/>
          <w:numId w:val="2"/>
        </w:numPr>
        <w:spacing w:before="0" w:line="360" w:lineRule="auto"/>
        <w:ind w:left="0" w:firstLine="0"/>
        <w:rPr>
          <w:rFonts w:hint="default" w:ascii="Times New Roman" w:hAnsi="Times New Roman" w:cs="Times New Roman"/>
        </w:rPr>
      </w:pPr>
      <w:r>
        <w:rPr>
          <w:rFonts w:hint="default" w:ascii="Times New Roman" w:hAnsi="Times New Roman" w:cs="Times New Roman"/>
        </w:rPr>
        <w:t>DA PARTICIPAÇÃO NO PREGÃO</w:t>
      </w:r>
    </w:p>
    <w:p>
      <w:pPr>
        <w:numPr>
          <w:ilvl w:val="1"/>
          <w:numId w:val="2"/>
        </w:numPr>
        <w:ind w:left="0" w:firstLine="0"/>
        <w:jc w:val="both"/>
        <w:rPr>
          <w:rFonts w:hint="default" w:ascii="Times New Roman" w:hAnsi="Times New Roman" w:cs="Times New Roman"/>
          <w:bCs/>
          <w:iCs/>
          <w:color w:val="000000"/>
          <w:sz w:val="20"/>
          <w:szCs w:val="20"/>
        </w:rPr>
      </w:pPr>
      <w:r>
        <w:rPr>
          <w:rFonts w:hint="default" w:ascii="Times New Roman" w:hAnsi="Times New Roman" w:cs="Times New Roman"/>
          <w:bCs/>
          <w:color w:val="000000"/>
          <w:sz w:val="20"/>
          <w:szCs w:val="20"/>
        </w:rPr>
        <w:t>Poderão participar deste Pregão interessados cujo ramo de atividade seja compatível com o objeto desta licitação, e que estejam com Credenciamento regular no</w:t>
      </w:r>
      <w:r>
        <w:rPr>
          <w:rFonts w:hint="default" w:ascii="Times New Roman" w:hAnsi="Times New Roman" w:cs="Times New Roman"/>
          <w:color w:val="000000"/>
          <w:sz w:val="20"/>
          <w:szCs w:val="20"/>
        </w:rPr>
        <w:t xml:space="preserve"> Sistema de Cadastramento Unificado de Fornecedores – SICAF, </w:t>
      </w:r>
      <w:r>
        <w:rPr>
          <w:rFonts w:hint="default" w:ascii="Times New Roman" w:hAnsi="Times New Roman" w:cs="Times New Roman"/>
          <w:bCs/>
          <w:color w:val="000000"/>
          <w:sz w:val="20"/>
          <w:szCs w:val="20"/>
        </w:rPr>
        <w:t>conforme disposto no art. 9º da IN SEGES/MP nº 3, de 2018.</w:t>
      </w:r>
    </w:p>
    <w:p>
      <w:pPr>
        <w:numPr>
          <w:ilvl w:val="2"/>
          <w:numId w:val="2"/>
        </w:numPr>
        <w:ind w:left="0" w:firstLine="0"/>
        <w:jc w:val="both"/>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Os licitantes deverão utilizar o certificado digital para acesso ao Sistema.</w:t>
      </w:r>
    </w:p>
    <w:p>
      <w:pPr>
        <w:pStyle w:val="67"/>
        <w:numPr>
          <w:ilvl w:val="1"/>
          <w:numId w:val="2"/>
        </w:numPr>
        <w:autoSpaceDE w:val="0"/>
        <w:snapToGrid w:val="0"/>
        <w:jc w:val="both"/>
        <w:rPr>
          <w:rFonts w:hint="default" w:ascii="Times New Roman" w:hAnsi="Times New Roman" w:cs="Times New Roman"/>
          <w:bCs/>
          <w:color w:val="000000"/>
          <w:sz w:val="20"/>
          <w:szCs w:val="20"/>
        </w:rPr>
      </w:pPr>
      <w:r>
        <w:rPr>
          <w:rFonts w:hint="default" w:ascii="Times New Roman" w:hAnsi="Times New Roman" w:cs="Times New Roman"/>
          <w:bCs/>
          <w:color w:val="000000"/>
          <w:sz w:val="20"/>
          <w:szCs w:val="20"/>
        </w:rPr>
        <w:t xml:space="preserve">Poderão participar da presente licitação as pessoas jurídicas do ramo pertinente ao objeto desta licitação, desde que estejam regularmente estabelecidas no país. </w:t>
      </w:r>
    </w:p>
    <w:p>
      <w:pPr>
        <w:pStyle w:val="67"/>
        <w:numPr>
          <w:ilvl w:val="2"/>
          <w:numId w:val="2"/>
        </w:numPr>
        <w:autoSpaceDE w:val="0"/>
        <w:snapToGrid w:val="0"/>
        <w:jc w:val="both"/>
        <w:rPr>
          <w:rFonts w:hint="default" w:ascii="Times New Roman" w:hAnsi="Times New Roman" w:cs="Times New Roman"/>
          <w:b/>
          <w:bCs w:val="0"/>
          <w:color w:val="000000"/>
          <w:sz w:val="20"/>
          <w:szCs w:val="20"/>
        </w:rPr>
      </w:pPr>
      <w:r>
        <w:rPr>
          <w:rFonts w:hint="default" w:ascii="Times New Roman" w:hAnsi="Times New Roman" w:cs="Times New Roman"/>
          <w:b/>
          <w:bCs w:val="0"/>
          <w:color w:val="000000"/>
          <w:sz w:val="20"/>
          <w:szCs w:val="20"/>
          <w:lang w:val="pt-BR"/>
        </w:rPr>
        <w:t>Em razão do valor total do Item 01, a</w:t>
      </w:r>
      <w:r>
        <w:rPr>
          <w:rFonts w:hint="default" w:ascii="Times New Roman" w:hAnsi="Times New Roman" w:cs="Times New Roman"/>
          <w:b/>
          <w:bCs w:val="0"/>
          <w:color w:val="000000"/>
          <w:sz w:val="20"/>
          <w:szCs w:val="20"/>
        </w:rPr>
        <w:t xml:space="preserve"> participação será restrita às empresas qualificadas como ME’S e EPP’S, em observância ao disposto no art. 48 da Lei Complementar 123/06, vez que o valor não ultrapassa o montante de R$80.000,00.</w:t>
      </w:r>
    </w:p>
    <w:p>
      <w:pPr>
        <w:pStyle w:val="67"/>
        <w:numPr>
          <w:ilvl w:val="2"/>
          <w:numId w:val="2"/>
        </w:numPr>
        <w:autoSpaceDE w:val="0"/>
        <w:snapToGrid w:val="0"/>
        <w:jc w:val="both"/>
        <w:rPr>
          <w:rFonts w:hint="default" w:ascii="Times New Roman" w:hAnsi="Times New Roman" w:cs="Times New Roman"/>
          <w:bCs/>
          <w:color w:val="000000"/>
          <w:sz w:val="20"/>
          <w:szCs w:val="20"/>
        </w:rPr>
      </w:pPr>
      <w:r>
        <w:rPr>
          <w:rFonts w:hint="default" w:ascii="Times New Roman" w:hAnsi="Times New Roman" w:cs="Times New Roman"/>
          <w:bCs/>
          <w:color w:val="000000"/>
          <w:sz w:val="20"/>
          <w:szCs w:val="20"/>
        </w:rPr>
        <w:t xml:space="preserve">A preferência de que trata o item 3.2.1. não se aplica nas hipóteses do art. 49, II da Lei Complementar nº123/06, hipótese em que a participação será ampla. Em relação aos demais itens do certame, a licitação será de concorrência ampla pois os itens ultrapassam o valor de R$80.000,00. </w:t>
      </w:r>
    </w:p>
    <w:p>
      <w:pPr>
        <w:numPr>
          <w:ilvl w:val="1"/>
          <w:numId w:val="2"/>
        </w:numPr>
        <w:autoSpaceDE w:val="0"/>
        <w:snapToGrid w:val="0"/>
        <w:jc w:val="both"/>
        <w:rPr>
          <w:rFonts w:hint="default" w:ascii="Times New Roman" w:hAnsi="Times New Roman" w:cs="Times New Roman"/>
          <w:bCs/>
          <w:color w:val="000000"/>
          <w:sz w:val="20"/>
          <w:szCs w:val="20"/>
        </w:rPr>
      </w:pPr>
      <w:r>
        <w:rPr>
          <w:rFonts w:hint="default" w:ascii="Times New Roman" w:hAnsi="Times New Roman" w:cs="Times New Roman"/>
          <w:bCs/>
          <w:color w:val="000000"/>
          <w:sz w:val="20"/>
          <w:szCs w:val="20"/>
        </w:rPr>
        <w:t>Não poderão participar desta licitação os interessados:</w:t>
      </w:r>
    </w:p>
    <w:p>
      <w:pPr>
        <w:numPr>
          <w:ilvl w:val="2"/>
          <w:numId w:val="2"/>
        </w:numPr>
        <w:tabs>
          <w:tab w:val="left" w:pos="1440"/>
        </w:tabs>
        <w:autoSpaceDE w:val="0"/>
        <w:snapToGrid w:val="0"/>
        <w:ind w:left="0" w:firstLine="0"/>
        <w:jc w:val="both"/>
        <w:rPr>
          <w:rFonts w:hint="default" w:ascii="Times New Roman" w:hAnsi="Times New Roman" w:cs="Times New Roman"/>
          <w:bCs/>
          <w:sz w:val="20"/>
          <w:szCs w:val="20"/>
        </w:rPr>
      </w:pPr>
      <w:r>
        <w:rPr>
          <w:rFonts w:hint="default" w:ascii="Times New Roman" w:hAnsi="Times New Roman" w:cs="Times New Roman"/>
          <w:bCs/>
          <w:sz w:val="20"/>
          <w:szCs w:val="20"/>
        </w:rPr>
        <w:t>proibidos de participar de licitações e celebrar contratos administrativos, na forma da legislação vigente;</w:t>
      </w:r>
    </w:p>
    <w:p>
      <w:pPr>
        <w:numPr>
          <w:ilvl w:val="3"/>
          <w:numId w:val="2"/>
        </w:numPr>
        <w:tabs>
          <w:tab w:val="left" w:pos="1980"/>
        </w:tabs>
        <w:autoSpaceDE w:val="0"/>
        <w:snapToGrid w:val="0"/>
        <w:ind w:left="1980" w:hanging="1980"/>
        <w:jc w:val="both"/>
        <w:rPr>
          <w:rFonts w:hint="default" w:ascii="Times New Roman" w:hAnsi="Times New Roman" w:cs="Times New Roman"/>
          <w:bCs/>
          <w:sz w:val="20"/>
          <w:szCs w:val="20"/>
        </w:rPr>
      </w:pPr>
      <w:r>
        <w:rPr>
          <w:rFonts w:hint="default" w:ascii="Times New Roman" w:hAnsi="Times New Roman" w:cs="Times New Roman"/>
          <w:bCs/>
          <w:sz w:val="20"/>
          <w:szCs w:val="20"/>
        </w:rPr>
        <w:t>Para fins de aplicação do disposto no item 3.3.1 será considerado proibido de participar de licitações e de celebrar contratos administrativos aqueles licitantes que sofreram penalidade de suspensão temporária de participar em licitação, impedimento de contratar declaração de inidoneidade por qualquer Ente Público e/ou Poder da União, Estados e Municípios conforme determinado pelo Superior Tribunal de Justiça no julgamento do Resp n° 151.567/RJ</w:t>
      </w:r>
      <w:r>
        <w:rPr>
          <w:rStyle w:val="10"/>
          <w:rFonts w:hint="default" w:ascii="Times New Roman" w:hAnsi="Times New Roman" w:cs="Times New Roman"/>
          <w:bCs/>
          <w:sz w:val="20"/>
          <w:szCs w:val="20"/>
        </w:rPr>
        <w:footnoteReference w:id="0"/>
      </w:r>
      <w:r>
        <w:rPr>
          <w:rFonts w:hint="default" w:ascii="Times New Roman" w:hAnsi="Times New Roman" w:cs="Times New Roman"/>
          <w:bCs/>
          <w:sz w:val="20"/>
          <w:szCs w:val="20"/>
        </w:rPr>
        <w:t>, Resp174.274/SP</w:t>
      </w:r>
      <w:r>
        <w:rPr>
          <w:rStyle w:val="10"/>
          <w:rFonts w:hint="default" w:ascii="Times New Roman" w:hAnsi="Times New Roman" w:cs="Times New Roman"/>
          <w:bCs/>
          <w:sz w:val="20"/>
          <w:szCs w:val="20"/>
        </w:rPr>
        <w:footnoteReference w:id="1"/>
      </w:r>
      <w:r>
        <w:rPr>
          <w:rFonts w:hint="default" w:ascii="Times New Roman" w:hAnsi="Times New Roman" w:cs="Times New Roman"/>
          <w:bCs/>
          <w:sz w:val="20"/>
          <w:szCs w:val="20"/>
        </w:rPr>
        <w:t>, aplicando-se o entendimento pacificado no STJ de que as penalidades retro mencionadas se aplicam à toda administração pública.</w:t>
      </w:r>
    </w:p>
    <w:p>
      <w:pPr>
        <w:numPr>
          <w:ilvl w:val="2"/>
          <w:numId w:val="2"/>
        </w:numPr>
        <w:tabs>
          <w:tab w:val="left" w:pos="1440"/>
        </w:tabs>
        <w:autoSpaceDE w:val="0"/>
        <w:snapToGrid w:val="0"/>
        <w:ind w:left="0" w:firstLine="0"/>
        <w:jc w:val="both"/>
        <w:rPr>
          <w:rFonts w:hint="default" w:ascii="Times New Roman" w:hAnsi="Times New Roman" w:cs="Times New Roman"/>
          <w:bCs/>
          <w:sz w:val="20"/>
          <w:szCs w:val="20"/>
        </w:rPr>
      </w:pPr>
      <w:r>
        <w:rPr>
          <w:rFonts w:hint="default" w:ascii="Times New Roman" w:hAnsi="Times New Roman" w:cs="Times New Roman"/>
          <w:bCs/>
          <w:sz w:val="20"/>
          <w:szCs w:val="20"/>
        </w:rPr>
        <w:t>que não atendam às condições deste Edital e seu(s) anexo(s);</w:t>
      </w:r>
    </w:p>
    <w:p>
      <w:pPr>
        <w:numPr>
          <w:ilvl w:val="2"/>
          <w:numId w:val="2"/>
        </w:numPr>
        <w:tabs>
          <w:tab w:val="left" w:pos="1440"/>
        </w:tabs>
        <w:autoSpaceDE w:val="0"/>
        <w:snapToGrid w:val="0"/>
        <w:ind w:left="0" w:firstLine="0"/>
        <w:jc w:val="both"/>
        <w:rPr>
          <w:rFonts w:hint="default" w:ascii="Times New Roman" w:hAnsi="Times New Roman" w:cs="Times New Roman"/>
          <w:bCs/>
          <w:color w:val="000000"/>
          <w:sz w:val="20"/>
          <w:szCs w:val="20"/>
        </w:rPr>
      </w:pPr>
      <w:r>
        <w:rPr>
          <w:rFonts w:hint="default" w:ascii="Times New Roman" w:hAnsi="Times New Roman" w:cs="Times New Roman"/>
          <w:bCs/>
          <w:color w:val="000000"/>
          <w:sz w:val="20"/>
          <w:szCs w:val="20"/>
        </w:rPr>
        <w:t>estrangeiros que não tenham representação legal no Brasil com poderes expressos para receber citação e responder administrativa ou judicialmente;</w:t>
      </w:r>
    </w:p>
    <w:p>
      <w:pPr>
        <w:numPr>
          <w:ilvl w:val="2"/>
          <w:numId w:val="2"/>
        </w:numPr>
        <w:tabs>
          <w:tab w:val="left" w:pos="1440"/>
        </w:tabs>
        <w:autoSpaceDE w:val="0"/>
        <w:snapToGrid w:val="0"/>
        <w:ind w:left="0" w:firstLine="0"/>
        <w:jc w:val="both"/>
        <w:rPr>
          <w:rFonts w:hint="default" w:ascii="Times New Roman" w:hAnsi="Times New Roman" w:cs="Times New Roman"/>
          <w:bCs/>
          <w:color w:val="000000"/>
          <w:sz w:val="20"/>
          <w:szCs w:val="20"/>
        </w:rPr>
      </w:pPr>
      <w:r>
        <w:rPr>
          <w:rFonts w:hint="default" w:ascii="Times New Roman" w:hAnsi="Times New Roman" w:eastAsia="Arial Unicode MS" w:cs="Times New Roman"/>
          <w:color w:val="000000"/>
          <w:sz w:val="20"/>
          <w:szCs w:val="20"/>
        </w:rPr>
        <w:t>que se enquadrem nas vedações previstas no artigo 9º da Lei nº 8.666, de 1993;</w:t>
      </w:r>
    </w:p>
    <w:p>
      <w:pPr>
        <w:numPr>
          <w:ilvl w:val="2"/>
          <w:numId w:val="2"/>
        </w:numPr>
        <w:tabs>
          <w:tab w:val="left" w:pos="1440"/>
        </w:tabs>
        <w:autoSpaceDE w:val="0"/>
        <w:snapToGrid w:val="0"/>
        <w:ind w:left="0" w:firstLine="0"/>
        <w:jc w:val="both"/>
        <w:rPr>
          <w:rFonts w:hint="default" w:ascii="Times New Roman" w:hAnsi="Times New Roman" w:cs="Times New Roman"/>
        </w:rPr>
      </w:pPr>
      <w:r>
        <w:rPr>
          <w:rFonts w:hint="default" w:ascii="Times New Roman" w:hAnsi="Times New Roman" w:cs="Times New Roman"/>
          <w:color w:val="000000"/>
          <w:sz w:val="20"/>
          <w:szCs w:val="20"/>
        </w:rPr>
        <w:t xml:space="preserve">que estejam sob falência, concurso de credores, </w:t>
      </w:r>
      <w:r>
        <w:rPr>
          <w:rFonts w:hint="default" w:ascii="Times New Roman" w:hAnsi="Times New Roman" w:cs="Times New Roman"/>
          <w:sz w:val="20"/>
          <w:szCs w:val="20"/>
        </w:rPr>
        <w:t xml:space="preserve">concordata ou </w:t>
      </w:r>
      <w:r>
        <w:rPr>
          <w:rFonts w:hint="default" w:ascii="Times New Roman" w:hAnsi="Times New Roman" w:cs="Times New Roman"/>
          <w:color w:val="000000"/>
          <w:sz w:val="20"/>
          <w:szCs w:val="20"/>
        </w:rPr>
        <w:t>em processo de dissolução ou liquidação;</w:t>
      </w:r>
    </w:p>
    <w:p>
      <w:pPr>
        <w:numPr>
          <w:ilvl w:val="2"/>
          <w:numId w:val="2"/>
        </w:numPr>
        <w:tabs>
          <w:tab w:val="left" w:pos="1440"/>
        </w:tabs>
        <w:autoSpaceDE w:val="0"/>
        <w:snapToGrid w:val="0"/>
        <w:ind w:left="0" w:firstLine="0"/>
        <w:jc w:val="both"/>
        <w:rPr>
          <w:rFonts w:hint="default" w:ascii="Times New Roman" w:hAnsi="Times New Roman" w:cs="Times New Roman"/>
          <w:sz w:val="20"/>
          <w:szCs w:val="20"/>
        </w:rPr>
      </w:pPr>
      <w:r>
        <w:rPr>
          <w:rFonts w:hint="default" w:ascii="Times New Roman" w:hAnsi="Times New Roman" w:cs="Times New Roman"/>
          <w:sz w:val="20"/>
          <w:szCs w:val="20"/>
        </w:rPr>
        <w:t xml:space="preserve">entidades empresariais que estejam reunidas em consórcio; </w:t>
      </w:r>
    </w:p>
    <w:p>
      <w:pPr>
        <w:pStyle w:val="23"/>
        <w:numPr>
          <w:ilvl w:val="2"/>
          <w:numId w:val="4"/>
        </w:numPr>
        <w:jc w:val="both"/>
        <w:rPr>
          <w:rFonts w:hint="default" w:ascii="Times New Roman" w:hAnsi="Times New Roman" w:cs="Times New Roman"/>
          <w:sz w:val="15"/>
          <w:szCs w:val="15"/>
        </w:rPr>
      </w:pPr>
      <w:r>
        <w:rPr>
          <w:rFonts w:hint="default" w:ascii="Times New Roman" w:hAnsi="Times New Roman" w:cs="Times New Roman"/>
          <w:color w:val="000000"/>
          <w:sz w:val="20"/>
          <w:szCs w:val="20"/>
        </w:rPr>
        <w:t>Organizações da Sociedade Civil de Interesse Público - OSCIP, atuando nessa condição (Acórdão nº 746/2014-TCU-Plenário).</w:t>
      </w:r>
      <w:r>
        <w:rPr>
          <w:rStyle w:val="10"/>
          <w:rFonts w:hint="default" w:ascii="Times New Roman" w:hAnsi="Times New Roman" w:cs="Times New Roman"/>
          <w:color w:val="000000"/>
          <w:sz w:val="20"/>
          <w:szCs w:val="20"/>
        </w:rPr>
        <w:footnoteReference w:id="2"/>
      </w:r>
    </w:p>
    <w:p>
      <w:pPr>
        <w:numPr>
          <w:ilvl w:val="1"/>
          <w:numId w:val="2"/>
        </w:numPr>
        <w:shd w:val="clear" w:color="auto" w:fill="FFFFFF"/>
        <w:autoSpaceDE w:val="0"/>
        <w:snapToGrid w:val="0"/>
        <w:spacing w:before="120" w:after="120" w:line="276" w:lineRule="auto"/>
        <w:ind w:left="0" w:firstLine="0"/>
        <w:jc w:val="both"/>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Como condição para participação no Pregão, a licitante assinalará “sim” ou “não” em campo próprio do sistema eletrônico, relativo às seguintes declarações:</w:t>
      </w:r>
    </w:p>
    <w:p>
      <w:pPr>
        <w:numPr>
          <w:ilvl w:val="2"/>
          <w:numId w:val="2"/>
        </w:numPr>
        <w:shd w:val="clear" w:color="auto" w:fill="FFFFFF"/>
        <w:tabs>
          <w:tab w:val="left" w:pos="1440"/>
        </w:tabs>
        <w:autoSpaceDE w:val="0"/>
        <w:snapToGrid w:val="0"/>
        <w:spacing w:before="120" w:after="120" w:line="276" w:lineRule="auto"/>
        <w:ind w:left="0" w:firstLine="0"/>
        <w:jc w:val="both"/>
        <w:rPr>
          <w:rFonts w:hint="default" w:ascii="Times New Roman" w:hAnsi="Times New Roman" w:cs="Times New Roman"/>
          <w:color w:val="000000"/>
          <w:sz w:val="20"/>
          <w:szCs w:val="20"/>
        </w:rPr>
      </w:pPr>
      <w:r>
        <w:rPr>
          <w:rFonts w:hint="default" w:ascii="Times New Roman" w:hAnsi="Times New Roman" w:cs="Times New Roman"/>
          <w:bCs/>
          <w:color w:val="000000"/>
          <w:sz w:val="20"/>
          <w:szCs w:val="20"/>
        </w:rPr>
        <w:t xml:space="preserve">que cumpre os requisitos estabelecidos no artigo 3° </w:t>
      </w:r>
      <w:r>
        <w:rPr>
          <w:rFonts w:hint="default" w:ascii="Times New Roman" w:hAnsi="Times New Roman" w:cs="Times New Roman"/>
          <w:color w:val="000000"/>
          <w:sz w:val="20"/>
          <w:szCs w:val="20"/>
        </w:rPr>
        <w:t>da Lei Complementar nº 123, de 2006, estando apta a usufruir do tratamento favorecido estabelecido em seus arts. 42 a 49;</w:t>
      </w:r>
      <w:bookmarkStart w:id="1" w:name="_Hlk51911853"/>
    </w:p>
    <w:p>
      <w:pPr>
        <w:numPr>
          <w:ilvl w:val="2"/>
          <w:numId w:val="2"/>
        </w:numPr>
        <w:shd w:val="clear" w:color="auto" w:fill="FFFFFF"/>
        <w:tabs>
          <w:tab w:val="left" w:pos="1440"/>
        </w:tabs>
        <w:autoSpaceDE w:val="0"/>
        <w:snapToGrid w:val="0"/>
        <w:spacing w:before="120" w:after="120" w:line="276" w:lineRule="auto"/>
        <w:ind w:left="0" w:firstLine="0"/>
        <w:jc w:val="both"/>
        <w:rPr>
          <w:rFonts w:hint="default" w:ascii="Times New Roman" w:hAnsi="Times New Roman" w:cs="Times New Roman"/>
          <w:color w:val="000000"/>
          <w:sz w:val="20"/>
          <w:szCs w:val="20"/>
        </w:rPr>
      </w:pPr>
      <w:r>
        <w:rPr>
          <w:rFonts w:hint="default" w:ascii="Times New Roman" w:hAnsi="Times New Roman" w:cs="Times New Roman"/>
          <w:sz w:val="20"/>
          <w:szCs w:val="20"/>
        </w:rPr>
        <w:t>a assinalação do campo “não” apenas produzirá o efeito de o licitante não ter direito ao tratamento favorecido previsto na Lei Complementar nº 123, de 2006, mesmo que microempresa, empresa de pequeno porte.</w:t>
      </w:r>
    </w:p>
    <w:p>
      <w:pPr>
        <w:numPr>
          <w:ilvl w:val="2"/>
          <w:numId w:val="2"/>
        </w:numPr>
        <w:shd w:val="clear" w:color="auto" w:fill="FFFFFF"/>
        <w:tabs>
          <w:tab w:val="left" w:pos="1440"/>
        </w:tabs>
        <w:autoSpaceDE w:val="0"/>
        <w:snapToGrid w:val="0"/>
        <w:spacing w:before="120" w:after="120" w:line="276" w:lineRule="auto"/>
        <w:ind w:left="0" w:firstLine="0"/>
        <w:jc w:val="both"/>
        <w:rPr>
          <w:rFonts w:hint="default" w:ascii="Times New Roman" w:hAnsi="Times New Roman" w:cs="Times New Roman"/>
          <w:color w:val="000000"/>
          <w:sz w:val="20"/>
          <w:szCs w:val="20"/>
        </w:rPr>
      </w:pPr>
      <w:r>
        <w:rPr>
          <w:rFonts w:hint="default" w:ascii="Times New Roman" w:hAnsi="Times New Roman" w:cs="Times New Roman"/>
          <w:sz w:val="20"/>
          <w:szCs w:val="20"/>
        </w:rPr>
        <w:t>nos itens em que a participação não for exclusiva para microempresas e empresas de pequeno porte caso haja, a assinalação do campo “não” apenas produzirá o efeito de o licitante não ter direito ao tratamento favorecido previsto na Lei Complementar nº 123, de 2006, mesmo que microempresa, empresa de pequeno porte.</w:t>
      </w:r>
    </w:p>
    <w:bookmarkEnd w:id="1"/>
    <w:p>
      <w:pPr>
        <w:numPr>
          <w:ilvl w:val="2"/>
          <w:numId w:val="2"/>
        </w:numPr>
        <w:tabs>
          <w:tab w:val="left" w:pos="1440"/>
        </w:tabs>
        <w:autoSpaceDE w:val="0"/>
        <w:snapToGrid w:val="0"/>
        <w:spacing w:before="120" w:after="120" w:line="276" w:lineRule="auto"/>
        <w:ind w:left="0" w:firstLine="0"/>
        <w:jc w:val="both"/>
        <w:rPr>
          <w:rFonts w:hint="default" w:ascii="Times New Roman" w:hAnsi="Times New Roman" w:cs="Times New Roman"/>
          <w:bCs/>
          <w:color w:val="000000"/>
          <w:sz w:val="20"/>
          <w:szCs w:val="20"/>
        </w:rPr>
      </w:pPr>
      <w:r>
        <w:rPr>
          <w:rFonts w:hint="default" w:ascii="Times New Roman" w:hAnsi="Times New Roman" w:cs="Times New Roman"/>
          <w:bCs/>
          <w:color w:val="000000"/>
          <w:sz w:val="20"/>
          <w:szCs w:val="20"/>
        </w:rPr>
        <w:t>que está ciente e concorda com as condições contidas no Edital e seus anexos;</w:t>
      </w:r>
    </w:p>
    <w:p>
      <w:pPr>
        <w:pStyle w:val="23"/>
        <w:numPr>
          <w:ilvl w:val="2"/>
          <w:numId w:val="2"/>
        </w:numPr>
        <w:tabs>
          <w:tab w:val="left" w:pos="1440"/>
        </w:tabs>
        <w:autoSpaceDE w:val="0"/>
        <w:snapToGrid w:val="0"/>
        <w:spacing w:before="120" w:after="120" w:line="276" w:lineRule="auto"/>
        <w:ind w:left="0" w:firstLine="0"/>
        <w:jc w:val="both"/>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 xml:space="preserve"> que cumpre os requisitos para a habilitação definidos no Edital e que a proposta apresentada está em conformidade com as exigências editalícias;</w:t>
      </w:r>
    </w:p>
    <w:p>
      <w:pPr>
        <w:numPr>
          <w:ilvl w:val="2"/>
          <w:numId w:val="2"/>
        </w:numPr>
        <w:tabs>
          <w:tab w:val="left" w:pos="1440"/>
        </w:tabs>
        <w:autoSpaceDE w:val="0"/>
        <w:snapToGrid w:val="0"/>
        <w:spacing w:before="120" w:after="120" w:line="276" w:lineRule="auto"/>
        <w:ind w:left="0" w:firstLine="0"/>
        <w:jc w:val="both"/>
        <w:rPr>
          <w:rFonts w:hint="default" w:ascii="Times New Roman" w:hAnsi="Times New Roman" w:cs="Times New Roman"/>
          <w:bCs/>
          <w:color w:val="000000"/>
          <w:sz w:val="20"/>
          <w:szCs w:val="20"/>
        </w:rPr>
      </w:pPr>
      <w:r>
        <w:rPr>
          <w:rFonts w:hint="default" w:ascii="Times New Roman" w:hAnsi="Times New Roman" w:cs="Times New Roman"/>
          <w:bCs/>
          <w:color w:val="000000"/>
          <w:sz w:val="20"/>
          <w:szCs w:val="20"/>
        </w:rPr>
        <w:t xml:space="preserve">que inexistem fatos impeditivos para sua habilitação no certame, ciente da obrigatoriedade de declarar ocorrências posteriores; </w:t>
      </w:r>
    </w:p>
    <w:p>
      <w:pPr>
        <w:numPr>
          <w:ilvl w:val="2"/>
          <w:numId w:val="2"/>
        </w:numPr>
        <w:tabs>
          <w:tab w:val="left" w:pos="1440"/>
        </w:tabs>
        <w:autoSpaceDE w:val="0"/>
        <w:snapToGrid w:val="0"/>
        <w:spacing w:before="120" w:after="120" w:line="276" w:lineRule="auto"/>
        <w:ind w:left="0" w:firstLine="0"/>
        <w:jc w:val="both"/>
        <w:rPr>
          <w:rFonts w:hint="default" w:ascii="Times New Roman" w:hAnsi="Times New Roman" w:cs="Times New Roman"/>
          <w:bCs/>
          <w:color w:val="000000"/>
          <w:sz w:val="20"/>
          <w:szCs w:val="20"/>
        </w:rPr>
      </w:pPr>
      <w:r>
        <w:rPr>
          <w:rFonts w:hint="default" w:ascii="Times New Roman" w:hAnsi="Times New Roman" w:cs="Times New Roman"/>
          <w:bCs/>
          <w:color w:val="000000"/>
          <w:sz w:val="20"/>
          <w:szCs w:val="20"/>
        </w:rPr>
        <w:t>que não emprega menor de 18 anos em trabalho noturno, perigoso ou insalubre e não emprega menor de 16 anos, salvo menor, a partir de 14 anos, na condição de aprendiz, nos termos do artigo 7°, XXXIII, da Constituição;</w:t>
      </w:r>
    </w:p>
    <w:p>
      <w:pPr>
        <w:numPr>
          <w:ilvl w:val="2"/>
          <w:numId w:val="2"/>
        </w:numPr>
        <w:tabs>
          <w:tab w:val="left" w:pos="1440"/>
        </w:tabs>
        <w:autoSpaceDE w:val="0"/>
        <w:snapToGrid w:val="0"/>
        <w:spacing w:before="120" w:after="120" w:line="276" w:lineRule="auto"/>
        <w:ind w:left="0" w:firstLine="0"/>
        <w:jc w:val="both"/>
        <w:rPr>
          <w:rFonts w:hint="default" w:ascii="Times New Roman" w:hAnsi="Times New Roman" w:cs="Times New Roman"/>
          <w:bCs/>
          <w:color w:val="000000"/>
          <w:sz w:val="20"/>
          <w:szCs w:val="20"/>
        </w:rPr>
      </w:pPr>
      <w:r>
        <w:rPr>
          <w:rFonts w:hint="default" w:ascii="Times New Roman" w:hAnsi="Times New Roman" w:cs="Times New Roman"/>
          <w:bCs/>
          <w:color w:val="000000"/>
          <w:sz w:val="20"/>
          <w:szCs w:val="20"/>
        </w:rPr>
        <w:t>que a proposta foi elaborada de forma independente, nos termos da Instrução Normativa SLTI/MP nº 2, de 16 de setembro de 2009.</w:t>
      </w:r>
    </w:p>
    <w:p>
      <w:pPr>
        <w:numPr>
          <w:ilvl w:val="2"/>
          <w:numId w:val="2"/>
        </w:numPr>
        <w:tabs>
          <w:tab w:val="left" w:pos="1440"/>
        </w:tabs>
        <w:autoSpaceDE w:val="0"/>
        <w:snapToGrid w:val="0"/>
        <w:spacing w:before="120" w:after="120" w:line="276" w:lineRule="auto"/>
        <w:ind w:left="0" w:firstLine="0"/>
        <w:jc w:val="both"/>
        <w:rPr>
          <w:rFonts w:hint="default" w:ascii="Times New Roman" w:hAnsi="Times New Roman" w:cs="Times New Roman"/>
          <w:bCs/>
          <w:color w:val="000000"/>
          <w:sz w:val="20"/>
          <w:szCs w:val="20"/>
        </w:rPr>
      </w:pPr>
      <w:r>
        <w:rPr>
          <w:rFonts w:hint="default" w:ascii="Times New Roman" w:hAnsi="Times New Roman" w:cs="Times New Roman"/>
          <w:bCs/>
          <w:color w:val="000000"/>
          <w:sz w:val="20"/>
          <w:szCs w:val="20"/>
        </w:rPr>
        <w:t>que não possui, em sua cadeia produtiva, empregados executando trabalho degradante ou forçado, observando o disposto nos incisos III e IV do art. 1º e no inciso III do art. 5º da Constituição Federal;</w:t>
      </w:r>
    </w:p>
    <w:p>
      <w:pPr>
        <w:numPr>
          <w:ilvl w:val="2"/>
          <w:numId w:val="2"/>
        </w:numPr>
        <w:tabs>
          <w:tab w:val="left" w:pos="1440"/>
        </w:tabs>
        <w:autoSpaceDE w:val="0"/>
        <w:snapToGrid w:val="0"/>
        <w:spacing w:before="120" w:after="120" w:line="276" w:lineRule="auto"/>
        <w:ind w:left="0" w:firstLine="0"/>
        <w:jc w:val="both"/>
        <w:rPr>
          <w:rFonts w:hint="default" w:ascii="Times New Roman" w:hAnsi="Times New Roman" w:cs="Times New Roman"/>
          <w:bCs/>
          <w:color w:val="FF0000"/>
          <w:sz w:val="20"/>
          <w:szCs w:val="20"/>
        </w:rPr>
      </w:pPr>
      <w:r>
        <w:rPr>
          <w:rFonts w:hint="default" w:ascii="Times New Roman" w:hAnsi="Times New Roman" w:cs="Times New Roman"/>
          <w:bCs/>
          <w:color w:val="000000"/>
          <w:sz w:val="20"/>
          <w:szCs w:val="20"/>
        </w:rPr>
        <w:t xml:space="preserve">que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w:t>
      </w:r>
      <w:r>
        <w:rPr>
          <w:rFonts w:hint="default" w:ascii="Times New Roman" w:hAnsi="Times New Roman" w:cs="Times New Roman"/>
          <w:bCs/>
          <w:sz w:val="20"/>
          <w:szCs w:val="20"/>
        </w:rPr>
        <w:t>1991.</w:t>
      </w:r>
    </w:p>
    <w:p>
      <w:pPr>
        <w:numPr>
          <w:ilvl w:val="1"/>
          <w:numId w:val="2"/>
        </w:numPr>
        <w:autoSpaceDE w:val="0"/>
        <w:snapToGrid w:val="0"/>
        <w:spacing w:before="120" w:after="120" w:line="276" w:lineRule="auto"/>
        <w:ind w:left="0" w:firstLine="0"/>
        <w:jc w:val="both"/>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A declaração falsa relativa ao cumprimento de qualquer condição sujeitará o licitante às sanções previstas em lei e neste Edital.</w:t>
      </w:r>
    </w:p>
    <w:p>
      <w:pPr>
        <w:pStyle w:val="38"/>
        <w:numPr>
          <w:ilvl w:val="0"/>
          <w:numId w:val="2"/>
        </w:numPr>
        <w:ind w:left="0" w:firstLine="0"/>
        <w:rPr>
          <w:rFonts w:hint="default" w:ascii="Times New Roman" w:hAnsi="Times New Roman" w:cs="Times New Roman"/>
        </w:rPr>
      </w:pPr>
      <w:r>
        <w:rPr>
          <w:rFonts w:hint="default" w:ascii="Times New Roman" w:hAnsi="Times New Roman" w:cs="Times New Roman"/>
        </w:rPr>
        <w:t>DA APRESENTAÇÃO DA PROPOSTA E DOS DOCUMENTOS DE HABILITAÇÃO</w:t>
      </w:r>
    </w:p>
    <w:p>
      <w:pPr>
        <w:numPr>
          <w:ilvl w:val="1"/>
          <w:numId w:val="2"/>
        </w:numPr>
        <w:spacing w:before="120" w:after="120" w:line="276" w:lineRule="auto"/>
        <w:ind w:left="0" w:firstLine="0"/>
        <w:jc w:val="both"/>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 xml:space="preserve">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 </w:t>
      </w:r>
    </w:p>
    <w:p>
      <w:pPr>
        <w:numPr>
          <w:ilvl w:val="1"/>
          <w:numId w:val="2"/>
        </w:numPr>
        <w:spacing w:before="120" w:after="120" w:line="276" w:lineRule="auto"/>
        <w:ind w:left="0" w:firstLine="0"/>
        <w:jc w:val="both"/>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O envio da proposta, acompanhada dos documentos de habilitação exigidos neste Edital, ocorrerá por meio de chave de acesso e senha.</w:t>
      </w:r>
    </w:p>
    <w:p>
      <w:pPr>
        <w:numPr>
          <w:ilvl w:val="1"/>
          <w:numId w:val="2"/>
        </w:numPr>
        <w:spacing w:before="120" w:after="120" w:line="276" w:lineRule="auto"/>
        <w:ind w:left="0" w:firstLine="0"/>
        <w:jc w:val="both"/>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Os licitantes poderão deixar de apresentar os documentos de habilitação que constem do SICAF, assegurado aos demais licitantes o direito de acesso aos dados constantes dos sistemas.</w:t>
      </w:r>
    </w:p>
    <w:p>
      <w:pPr>
        <w:numPr>
          <w:ilvl w:val="1"/>
          <w:numId w:val="2"/>
        </w:numPr>
        <w:spacing w:before="120" w:after="120" w:line="276" w:lineRule="auto"/>
        <w:ind w:left="0" w:firstLine="0"/>
        <w:jc w:val="both"/>
        <w:rPr>
          <w:rFonts w:hint="default" w:ascii="Times New Roman" w:hAnsi="Times New Roman" w:cs="Times New Roman"/>
          <w:color w:val="000000"/>
          <w:sz w:val="20"/>
          <w:szCs w:val="20"/>
        </w:rPr>
      </w:pPr>
      <w:r>
        <w:rPr>
          <w:rFonts w:hint="default" w:ascii="Times New Roman" w:hAnsi="Times New Roman" w:cs="Times New Roman"/>
          <w:sz w:val="20"/>
          <w:szCs w:val="20"/>
        </w:rPr>
        <w:t>As Microempresas e Empresas de Pequeno Porte deverão encaminhar a documentação de habilitação, ainda que haja alguma restrição de regularidade fiscal e trabalhista, nos termos do art. 43, § 1º da LC nº 123, de 2006.</w:t>
      </w:r>
    </w:p>
    <w:p>
      <w:pPr>
        <w:numPr>
          <w:ilvl w:val="1"/>
          <w:numId w:val="2"/>
        </w:numPr>
        <w:spacing w:before="120" w:after="120" w:line="276" w:lineRule="auto"/>
        <w:ind w:left="0" w:firstLine="0"/>
        <w:jc w:val="both"/>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pPr>
        <w:numPr>
          <w:ilvl w:val="1"/>
          <w:numId w:val="2"/>
        </w:numPr>
        <w:spacing w:before="120" w:after="120" w:line="276" w:lineRule="auto"/>
        <w:ind w:left="0" w:firstLine="0"/>
        <w:jc w:val="both"/>
        <w:rPr>
          <w:rFonts w:hint="default" w:ascii="Times New Roman" w:hAnsi="Times New Roman" w:cs="Times New Roman"/>
          <w:color w:val="000000"/>
          <w:sz w:val="20"/>
          <w:szCs w:val="20"/>
        </w:rPr>
      </w:pPr>
      <w:r>
        <w:rPr>
          <w:rFonts w:hint="default" w:ascii="Times New Roman" w:hAnsi="Times New Roman" w:cs="Times New Roman"/>
          <w:sz w:val="20"/>
          <w:szCs w:val="20"/>
        </w:rPr>
        <w:t xml:space="preserve">Até a abertura da sessão pública, os licitantes poderão retirar ou substituir </w:t>
      </w:r>
      <w:r>
        <w:rPr>
          <w:rFonts w:hint="default" w:ascii="Times New Roman" w:hAnsi="Times New Roman" w:cs="Times New Roman"/>
          <w:color w:val="000000"/>
          <w:sz w:val="20"/>
          <w:szCs w:val="20"/>
        </w:rPr>
        <w:t>a proposta e os documentos de habilitação anteriormente inseridos no sistema;</w:t>
      </w:r>
    </w:p>
    <w:p>
      <w:pPr>
        <w:numPr>
          <w:ilvl w:val="1"/>
          <w:numId w:val="2"/>
        </w:numPr>
        <w:spacing w:before="120" w:after="120" w:line="276" w:lineRule="auto"/>
        <w:ind w:left="0" w:firstLine="0"/>
        <w:jc w:val="both"/>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Não será estabelecida, nessa etapa do certame, ordem de classificação entre as propostas apresentadas, o que somente ocorrerá após a realização dos procedimentos de negociação e julgamento da proposta.</w:t>
      </w:r>
    </w:p>
    <w:p>
      <w:pPr>
        <w:numPr>
          <w:ilvl w:val="1"/>
          <w:numId w:val="2"/>
        </w:numPr>
        <w:spacing w:before="120" w:after="120" w:line="276" w:lineRule="auto"/>
        <w:ind w:left="0" w:firstLine="0"/>
        <w:jc w:val="both"/>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Os documentos que compõem a proposta e a habilitação do licitante melhor classificado somente serão disponibilizados para avaliação da pregoeira e para acesso público após o encerramento do envio de lances.</w:t>
      </w:r>
    </w:p>
    <w:p>
      <w:pPr>
        <w:numPr>
          <w:ilvl w:val="1"/>
          <w:numId w:val="2"/>
        </w:numPr>
        <w:spacing w:before="120" w:after="120" w:line="276" w:lineRule="auto"/>
        <w:ind w:left="0" w:firstLine="0"/>
        <w:jc w:val="both"/>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Caso o licitante deixe de anexar o arquivo contendo a Proposta ou parte dela nos termos do item 5.1 serão analisadas as informações registradas do Sistema Eletrônico do Portal de Compras referente ao item da Proposta, caso o registro traga todas as informações solicitadas no Edital referente à Proposta prévia, o registro poderá ser admitido como Proposta, assegurado a Pregoeira o direito de rejeita-la caso não possua todas as informações solicitados neste Edital.</w:t>
      </w:r>
    </w:p>
    <w:p>
      <w:pPr>
        <w:numPr>
          <w:ilvl w:val="1"/>
          <w:numId w:val="2"/>
        </w:numPr>
        <w:spacing w:before="120" w:after="120" w:line="276" w:lineRule="auto"/>
        <w:ind w:left="0" w:firstLine="0"/>
        <w:jc w:val="both"/>
        <w:rPr>
          <w:rFonts w:hint="default" w:ascii="Times New Roman" w:hAnsi="Times New Roman" w:cs="Times New Roman"/>
          <w:b/>
          <w:color w:val="000000"/>
          <w:sz w:val="20"/>
          <w:szCs w:val="20"/>
          <w:u w:val="single"/>
        </w:rPr>
      </w:pPr>
      <w:bookmarkStart w:id="2" w:name="_Hlk51912255"/>
      <w:r>
        <w:rPr>
          <w:rFonts w:hint="default" w:ascii="Times New Roman" w:hAnsi="Times New Roman" w:cs="Times New Roman"/>
          <w:sz w:val="20"/>
          <w:szCs w:val="20"/>
        </w:rPr>
        <w:t xml:space="preserve">Não será reconhecida a desistência de valor ofertado em lance ou Proposta, sem que haja demonstração fundamentada do motivo ou fato superveniente, não cabendo a simples solicitação infundada. </w:t>
      </w:r>
      <w:bookmarkEnd w:id="2"/>
    </w:p>
    <w:p>
      <w:pPr>
        <w:pStyle w:val="38"/>
        <w:numPr>
          <w:ilvl w:val="0"/>
          <w:numId w:val="2"/>
        </w:numPr>
        <w:ind w:left="0" w:firstLine="0"/>
        <w:rPr>
          <w:rFonts w:hint="default" w:ascii="Times New Roman" w:hAnsi="Times New Roman" w:cs="Times New Roman"/>
        </w:rPr>
      </w:pPr>
      <w:r>
        <w:rPr>
          <w:rFonts w:hint="default" w:ascii="Times New Roman" w:hAnsi="Times New Roman" w:cs="Times New Roman"/>
        </w:rPr>
        <w:t>DO PREENCHIMENTO DA PROPOSTA</w:t>
      </w:r>
    </w:p>
    <w:p>
      <w:pPr>
        <w:numPr>
          <w:ilvl w:val="1"/>
          <w:numId w:val="2"/>
        </w:numPr>
        <w:spacing w:before="120" w:after="120" w:line="276" w:lineRule="auto"/>
        <w:ind w:left="0" w:firstLine="0"/>
        <w:jc w:val="both"/>
        <w:rPr>
          <w:rFonts w:hint="default" w:ascii="Times New Roman" w:hAnsi="Times New Roman" w:cs="Times New Roman"/>
          <w:color w:val="000000"/>
          <w:sz w:val="20"/>
          <w:szCs w:val="20"/>
        </w:rPr>
      </w:pPr>
      <w:r>
        <w:rPr>
          <w:rFonts w:hint="default" w:ascii="Times New Roman" w:hAnsi="Times New Roman" w:cs="Times New Roman"/>
          <w:sz w:val="20"/>
          <w:szCs w:val="20"/>
        </w:rPr>
        <w:t>O licitante deverá enviar sua proposta mediante o preenchimento, no sistema eletrônico, dos seguintes campos:</w:t>
      </w:r>
    </w:p>
    <w:p>
      <w:pPr>
        <w:numPr>
          <w:ilvl w:val="2"/>
          <w:numId w:val="2"/>
        </w:numPr>
        <w:tabs>
          <w:tab w:val="left" w:pos="1440"/>
        </w:tabs>
        <w:autoSpaceDE w:val="0"/>
        <w:snapToGrid w:val="0"/>
        <w:spacing w:before="120" w:after="120" w:line="276" w:lineRule="auto"/>
        <w:ind w:left="0" w:firstLine="0"/>
        <w:jc w:val="both"/>
        <w:rPr>
          <w:rFonts w:hint="default" w:ascii="Times New Roman" w:hAnsi="Times New Roman" w:cs="Times New Roman"/>
          <w:sz w:val="20"/>
          <w:szCs w:val="20"/>
        </w:rPr>
      </w:pPr>
      <w:r>
        <w:rPr>
          <w:rFonts w:hint="default" w:ascii="Times New Roman" w:hAnsi="Times New Roman" w:cs="Times New Roman"/>
          <w:sz w:val="20"/>
          <w:szCs w:val="20"/>
        </w:rPr>
        <w:t>Valor total</w:t>
      </w:r>
      <w:r>
        <w:rPr>
          <w:rFonts w:hint="default" w:ascii="Times New Roman" w:hAnsi="Times New Roman" w:cs="Times New Roman"/>
          <w:bCs/>
          <w:iCs/>
          <w:sz w:val="20"/>
          <w:szCs w:val="20"/>
        </w:rPr>
        <w:t>, sendo consideradas até quatro casas após a vírgula;</w:t>
      </w:r>
    </w:p>
    <w:p>
      <w:pPr>
        <w:numPr>
          <w:ilvl w:val="2"/>
          <w:numId w:val="2"/>
        </w:numPr>
        <w:tabs>
          <w:tab w:val="left" w:pos="1440"/>
        </w:tabs>
        <w:autoSpaceDE w:val="0"/>
        <w:snapToGrid w:val="0"/>
        <w:spacing w:before="120" w:after="120" w:line="276" w:lineRule="auto"/>
        <w:ind w:left="0" w:firstLine="0"/>
        <w:jc w:val="both"/>
        <w:rPr>
          <w:rFonts w:hint="default" w:ascii="Times New Roman" w:hAnsi="Times New Roman" w:cs="Times New Roman"/>
          <w:b/>
          <w:color w:val="000000"/>
          <w:sz w:val="20"/>
          <w:szCs w:val="20"/>
          <w:u w:val="single"/>
        </w:rPr>
      </w:pPr>
      <w:bookmarkStart w:id="3" w:name="_Hlk51912436"/>
      <w:r>
        <w:rPr>
          <w:rFonts w:hint="default" w:ascii="Times New Roman" w:hAnsi="Times New Roman" w:cs="Times New Roman"/>
          <w:sz w:val="20"/>
          <w:szCs w:val="20"/>
        </w:rPr>
        <w:t>Descrição detalhada do objeto, contendo as informações compatíveis à especificação do Termo de Referência, indicando no que for aplicável;</w:t>
      </w:r>
      <w:bookmarkEnd w:id="3"/>
    </w:p>
    <w:p>
      <w:pPr>
        <w:numPr>
          <w:ilvl w:val="2"/>
          <w:numId w:val="2"/>
        </w:numPr>
        <w:tabs>
          <w:tab w:val="left" w:pos="1440"/>
        </w:tabs>
        <w:autoSpaceDE w:val="0"/>
        <w:snapToGrid w:val="0"/>
        <w:spacing w:before="120" w:after="120" w:line="276" w:lineRule="auto"/>
        <w:ind w:left="0" w:firstLine="0"/>
        <w:jc w:val="both"/>
        <w:rPr>
          <w:rFonts w:hint="default" w:ascii="Times New Roman" w:hAnsi="Times New Roman" w:cs="Times New Roman"/>
          <w:b/>
          <w:color w:val="000000"/>
          <w:sz w:val="20"/>
          <w:szCs w:val="20"/>
          <w:u w:val="single"/>
        </w:rPr>
      </w:pPr>
      <w:r>
        <w:rPr>
          <w:rFonts w:hint="default" w:ascii="Times New Roman" w:hAnsi="Times New Roman" w:cs="Times New Roman"/>
          <w:sz w:val="20"/>
          <w:szCs w:val="20"/>
        </w:rPr>
        <w:t xml:space="preserve">Indicação de marca/modelo do objeto ofertado, sempre que for aplicável. </w:t>
      </w:r>
    </w:p>
    <w:p>
      <w:pPr>
        <w:pStyle w:val="23"/>
        <w:numPr>
          <w:ilvl w:val="1"/>
          <w:numId w:val="2"/>
        </w:numPr>
        <w:spacing w:before="120" w:after="120" w:line="276" w:lineRule="auto"/>
        <w:ind w:left="0" w:firstLine="0"/>
        <w:jc w:val="both"/>
        <w:rPr>
          <w:rFonts w:hint="default" w:ascii="Times New Roman" w:hAnsi="Times New Roman" w:cs="Times New Roman"/>
          <w:color w:val="000000"/>
          <w:sz w:val="20"/>
          <w:szCs w:val="20"/>
        </w:rPr>
      </w:pPr>
      <w:r>
        <w:rPr>
          <w:rFonts w:hint="default" w:ascii="Times New Roman" w:hAnsi="Times New Roman" w:cs="Times New Roman"/>
          <w:sz w:val="20"/>
          <w:szCs w:val="20"/>
        </w:rPr>
        <w:t>Todas as especificações do objeto contidas na proposta vinculam a Contratada.</w:t>
      </w:r>
    </w:p>
    <w:p>
      <w:pPr>
        <w:pStyle w:val="23"/>
        <w:numPr>
          <w:ilvl w:val="1"/>
          <w:numId w:val="2"/>
        </w:numPr>
        <w:spacing w:before="120" w:after="120" w:line="276" w:lineRule="auto"/>
        <w:ind w:left="0" w:firstLine="0"/>
        <w:jc w:val="both"/>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Nos valores propostos estarão inclusos todos os custos operacionais, encargos previdenciários, trabalhistas, tributários, comerciais e quaisquer outros que incidam direta ou indiretamente no fornecimento dos bens, especialmente os custos de frete para a realização da entrega na sede do CISMIV, que correrão por conta do licitante vencedor na hipótese de fornecimento na forma estabelecida no Termo de Referência.</w:t>
      </w:r>
    </w:p>
    <w:p>
      <w:pPr>
        <w:pStyle w:val="23"/>
        <w:numPr>
          <w:ilvl w:val="1"/>
          <w:numId w:val="2"/>
        </w:numPr>
        <w:spacing w:before="120" w:after="120" w:line="276" w:lineRule="auto"/>
        <w:ind w:left="0" w:firstLine="0"/>
        <w:jc w:val="both"/>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23"/>
        <w:numPr>
          <w:ilvl w:val="1"/>
          <w:numId w:val="2"/>
        </w:numPr>
        <w:spacing w:before="120" w:after="120" w:line="276" w:lineRule="auto"/>
        <w:ind w:left="0" w:firstLine="0"/>
        <w:jc w:val="both"/>
        <w:rPr>
          <w:rFonts w:hint="default" w:ascii="Times New Roman" w:hAnsi="Times New Roman" w:cs="Times New Roman"/>
          <w:szCs w:val="20"/>
        </w:rPr>
      </w:pPr>
      <w:r>
        <w:rPr>
          <w:rFonts w:hint="default" w:ascii="Times New Roman" w:hAnsi="Times New Roman" w:cs="Times New Roman"/>
          <w:color w:val="000000"/>
          <w:sz w:val="20"/>
          <w:szCs w:val="20"/>
        </w:rPr>
        <w:t xml:space="preserve">O prazo de validade da proposta não será inferior a </w:t>
      </w:r>
      <w:r>
        <w:rPr>
          <w:rFonts w:hint="default" w:ascii="Times New Roman" w:hAnsi="Times New Roman" w:cs="Times New Roman"/>
          <w:sz w:val="20"/>
          <w:szCs w:val="20"/>
        </w:rPr>
        <w:t>60 (sessenta)</w:t>
      </w:r>
      <w:r>
        <w:rPr>
          <w:rFonts w:hint="default" w:ascii="Times New Roman" w:hAnsi="Times New Roman" w:cs="Times New Roman"/>
          <w:bCs/>
          <w:iCs/>
          <w:color w:val="000000"/>
          <w:sz w:val="20"/>
          <w:szCs w:val="20"/>
        </w:rPr>
        <w:t xml:space="preserve"> dias</w:t>
      </w:r>
      <w:r>
        <w:rPr>
          <w:rFonts w:hint="default" w:ascii="Times New Roman" w:hAnsi="Times New Roman" w:cs="Times New Roman"/>
          <w:b/>
          <w:color w:val="000000"/>
          <w:sz w:val="20"/>
          <w:szCs w:val="20"/>
        </w:rPr>
        <w:t>,</w:t>
      </w:r>
      <w:r>
        <w:rPr>
          <w:rFonts w:hint="default" w:ascii="Times New Roman" w:hAnsi="Times New Roman" w:cs="Times New Roman"/>
          <w:color w:val="000000"/>
          <w:sz w:val="20"/>
          <w:szCs w:val="20"/>
        </w:rPr>
        <w:t xml:space="preserve"> a contar da data de sua apresentação. </w:t>
      </w:r>
    </w:p>
    <w:p>
      <w:pPr>
        <w:pStyle w:val="23"/>
        <w:numPr>
          <w:ilvl w:val="1"/>
          <w:numId w:val="2"/>
        </w:numPr>
        <w:spacing w:before="120" w:after="120" w:line="276" w:lineRule="auto"/>
        <w:ind w:left="0" w:firstLine="0"/>
        <w:jc w:val="both"/>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Os licitantes devem respeitar os preços máximos estabelecidos nas normas de regência de contratações públicas federais, quando participarem de licitações públicas;</w:t>
      </w:r>
    </w:p>
    <w:p>
      <w:pPr>
        <w:pStyle w:val="23"/>
        <w:numPr>
          <w:ilvl w:val="2"/>
          <w:numId w:val="2"/>
        </w:numPr>
        <w:spacing w:before="120" w:after="120" w:line="276" w:lineRule="auto"/>
        <w:ind w:left="0" w:firstLine="0"/>
        <w:jc w:val="both"/>
        <w:rPr>
          <w:rFonts w:hint="default" w:ascii="Times New Roman" w:hAnsi="Times New Roman" w:cs="Times New Roman"/>
          <w:sz w:val="20"/>
          <w:szCs w:val="20"/>
        </w:rPr>
      </w:pPr>
      <w:r>
        <w:rPr>
          <w:rFonts w:hint="default" w:ascii="Times New Roman" w:hAnsi="Times New Roman" w:cs="Times New Roman"/>
          <w:color w:val="000000"/>
          <w:sz w:val="20"/>
          <w:szCs w:val="20"/>
        </w:rPr>
        <w:t xml:space="preserve">O descumprimento das regras estabelecidas pela Administração, que venham a ser descumpridas, total ou parcialmente, pelos contratados pode ensejar a fiscalização do Tribunal de Contas do Estado de Minas Gerias e o Tribunal de Contas da União e, após o devido processo legal, gerar as seguintes consequências: assinatura de prazo para a adoção das medidas necessárias ao exato cumprimento da lei, nos termos do art. 71, inciso IX, da </w:t>
      </w:r>
      <w:r>
        <w:rPr>
          <w:rFonts w:hint="default" w:ascii="Times New Roman" w:hAnsi="Times New Roman" w:cs="Times New Roman"/>
          <w:sz w:val="20"/>
          <w:szCs w:val="20"/>
        </w:rPr>
        <w:t>Constituição; ou condenação da empresa contratada ao pagamento dos prejuízos ao erário, caso verificada a ocorrência de superfaturamento por sobrepreço na execução do contrato.</w:t>
      </w:r>
    </w:p>
    <w:p>
      <w:pPr>
        <w:pStyle w:val="23"/>
        <w:numPr>
          <w:ilvl w:val="1"/>
          <w:numId w:val="2"/>
        </w:numPr>
        <w:spacing w:before="120" w:after="120" w:line="276" w:lineRule="auto"/>
        <w:ind w:left="0" w:hanging="1"/>
        <w:jc w:val="both"/>
        <w:rPr>
          <w:rFonts w:hint="default" w:ascii="Times New Roman" w:hAnsi="Times New Roman" w:cs="Times New Roman"/>
          <w:color w:val="000000"/>
          <w:sz w:val="20"/>
          <w:szCs w:val="20"/>
        </w:rPr>
      </w:pPr>
      <w:r>
        <w:rPr>
          <w:rFonts w:hint="default" w:ascii="Times New Roman" w:hAnsi="Times New Roman" w:cs="Times New Roman"/>
          <w:sz w:val="20"/>
          <w:szCs w:val="20"/>
        </w:rPr>
        <w:t>A Minuta de Proposta é a constante no Anexo 1</w:t>
      </w:r>
      <w:r>
        <w:rPr>
          <w:rFonts w:hint="default" w:ascii="Times New Roman" w:hAnsi="Times New Roman" w:cs="Times New Roman"/>
          <w:sz w:val="20"/>
          <w:szCs w:val="20"/>
          <w:lang w:val="pt-BR"/>
        </w:rPr>
        <w:t>a</w:t>
      </w:r>
      <w:r>
        <w:rPr>
          <w:rFonts w:hint="default" w:ascii="Times New Roman" w:hAnsi="Times New Roman" w:cs="Times New Roman"/>
          <w:sz w:val="20"/>
          <w:szCs w:val="20"/>
        </w:rPr>
        <w:t xml:space="preserve"> do Termo de Referência</w:t>
      </w:r>
      <w:r>
        <w:rPr>
          <w:rFonts w:hint="default" w:ascii="Times New Roman" w:hAnsi="Times New Roman" w:cs="Times New Roman"/>
          <w:sz w:val="20"/>
          <w:szCs w:val="20"/>
          <w:lang w:val="pt-BR"/>
        </w:rPr>
        <w:t xml:space="preserve">. </w:t>
      </w:r>
    </w:p>
    <w:p>
      <w:pPr>
        <w:pStyle w:val="38"/>
        <w:numPr>
          <w:ilvl w:val="0"/>
          <w:numId w:val="2"/>
        </w:numPr>
        <w:tabs>
          <w:tab w:val="left" w:pos="-709"/>
          <w:tab w:val="left" w:pos="-567"/>
          <w:tab w:val="left" w:pos="-426"/>
          <w:tab w:val="left" w:pos="-284"/>
          <w:tab w:val="left" w:pos="-142"/>
          <w:tab w:val="left" w:pos="0"/>
          <w:tab w:val="clear" w:pos="567"/>
        </w:tabs>
        <w:ind w:left="0" w:firstLine="0"/>
        <w:rPr>
          <w:rFonts w:hint="default" w:ascii="Times New Roman" w:hAnsi="Times New Roman" w:cs="Times New Roman"/>
        </w:rPr>
      </w:pPr>
      <w:r>
        <w:rPr>
          <w:rFonts w:hint="default" w:ascii="Times New Roman" w:hAnsi="Times New Roman" w:cs="Times New Roman"/>
          <w:color w:val="auto"/>
        </w:rPr>
        <w:t>DA ABERTURA DA SESSÃO, CLASSIFICAÇÃO DAS PROPOSTAS E FORMULAÇÃO DE LANCES</w:t>
      </w:r>
    </w:p>
    <w:p>
      <w:pPr>
        <w:pStyle w:val="23"/>
        <w:numPr>
          <w:ilvl w:val="1"/>
          <w:numId w:val="2"/>
        </w:numPr>
        <w:tabs>
          <w:tab w:val="left" w:pos="-1134"/>
          <w:tab w:val="left" w:pos="-426"/>
          <w:tab w:val="left" w:pos="-284"/>
          <w:tab w:val="left" w:pos="-142"/>
          <w:tab w:val="left" w:pos="0"/>
        </w:tabs>
        <w:spacing w:before="120" w:after="120" w:line="276" w:lineRule="auto"/>
        <w:ind w:left="0" w:firstLine="0"/>
        <w:jc w:val="both"/>
        <w:rPr>
          <w:rFonts w:hint="default" w:ascii="Times New Roman" w:hAnsi="Times New Roman" w:cs="Times New Roman"/>
          <w:color w:val="000000"/>
          <w:sz w:val="20"/>
          <w:szCs w:val="20"/>
          <w:lang w:eastAsia="en-US"/>
        </w:rPr>
      </w:pPr>
      <w:r>
        <w:rPr>
          <w:rFonts w:hint="default" w:ascii="Times New Roman" w:hAnsi="Times New Roman" w:cs="Times New Roman"/>
          <w:color w:val="000000"/>
          <w:sz w:val="20"/>
          <w:szCs w:val="20"/>
          <w:lang w:eastAsia="en-US"/>
        </w:rPr>
        <w:t xml:space="preserve">A </w:t>
      </w:r>
      <w:r>
        <w:rPr>
          <w:rFonts w:hint="default" w:ascii="Times New Roman" w:hAnsi="Times New Roman" w:cs="Times New Roman"/>
          <w:color w:val="000000"/>
          <w:sz w:val="20"/>
          <w:szCs w:val="20"/>
        </w:rPr>
        <w:t>abertura</w:t>
      </w:r>
      <w:r>
        <w:rPr>
          <w:rFonts w:hint="default" w:ascii="Times New Roman" w:hAnsi="Times New Roman" w:cs="Times New Roman"/>
          <w:color w:val="000000"/>
          <w:sz w:val="20"/>
          <w:szCs w:val="20"/>
          <w:lang w:eastAsia="en-US"/>
        </w:rPr>
        <w:t xml:space="preserve"> da presente licitação dar-se-á em sessão pública, por meio de sistema eletrônico, na data, horário e local indicados neste Edital.</w:t>
      </w:r>
    </w:p>
    <w:p>
      <w:pPr>
        <w:pStyle w:val="23"/>
        <w:numPr>
          <w:ilvl w:val="1"/>
          <w:numId w:val="2"/>
        </w:numPr>
        <w:tabs>
          <w:tab w:val="left" w:pos="-426"/>
          <w:tab w:val="left" w:pos="-284"/>
          <w:tab w:val="left" w:pos="-142"/>
          <w:tab w:val="left" w:pos="0"/>
          <w:tab w:val="left" w:pos="709"/>
          <w:tab w:val="left" w:pos="851"/>
        </w:tabs>
        <w:spacing w:before="120" w:after="120" w:line="276" w:lineRule="auto"/>
        <w:ind w:left="0" w:firstLine="0"/>
        <w:jc w:val="both"/>
        <w:rPr>
          <w:rFonts w:hint="default" w:ascii="Times New Roman" w:hAnsi="Times New Roman" w:cs="Times New Roman"/>
          <w:color w:val="000000"/>
          <w:sz w:val="20"/>
          <w:szCs w:val="20"/>
          <w:lang w:eastAsia="en-US"/>
        </w:rPr>
      </w:pPr>
      <w:r>
        <w:rPr>
          <w:rFonts w:hint="default" w:ascii="Times New Roman" w:hAnsi="Times New Roman" w:cs="Times New Roman"/>
          <w:color w:val="000000"/>
          <w:sz w:val="20"/>
          <w:szCs w:val="20"/>
          <w:lang w:eastAsia="en-US"/>
        </w:rPr>
        <w:t>A pregoeira</w:t>
      </w:r>
      <w:r>
        <w:rPr>
          <w:rFonts w:hint="default" w:ascii="Times New Roman" w:hAnsi="Times New Roman" w:cs="Times New Roman"/>
          <w:color w:val="000000"/>
          <w:sz w:val="20"/>
          <w:szCs w:val="20"/>
        </w:rPr>
        <w:t xml:space="preserve"> verificará as propostas apresentadas, desclassificando desde logo aquelas que não estejam em conformidade com os requisitos estabelecidos neste Edital, contenham vícios insanáveis ou não apresentem as especificações técnicas exigidas no Termo de Referência. </w:t>
      </w:r>
    </w:p>
    <w:p>
      <w:pPr>
        <w:numPr>
          <w:ilvl w:val="2"/>
          <w:numId w:val="2"/>
        </w:numPr>
        <w:tabs>
          <w:tab w:val="left" w:pos="-426"/>
          <w:tab w:val="left" w:pos="-284"/>
          <w:tab w:val="left" w:pos="-142"/>
          <w:tab w:val="left" w:pos="0"/>
          <w:tab w:val="left" w:pos="709"/>
          <w:tab w:val="left" w:pos="851"/>
          <w:tab w:val="left" w:pos="1440"/>
        </w:tabs>
        <w:autoSpaceDE w:val="0"/>
        <w:snapToGrid w:val="0"/>
        <w:spacing w:before="120" w:after="120" w:line="276" w:lineRule="auto"/>
        <w:ind w:left="0" w:firstLine="0"/>
        <w:jc w:val="both"/>
        <w:rPr>
          <w:rFonts w:hint="default" w:ascii="Times New Roman" w:hAnsi="Times New Roman" w:cs="Times New Roman"/>
          <w:color w:val="000000"/>
          <w:sz w:val="20"/>
          <w:szCs w:val="20"/>
          <w:lang w:eastAsia="en-US"/>
        </w:rPr>
      </w:pPr>
      <w:r>
        <w:rPr>
          <w:rFonts w:hint="default" w:ascii="Times New Roman" w:hAnsi="Times New Roman" w:cs="Times New Roman"/>
          <w:color w:val="000000"/>
          <w:sz w:val="20"/>
          <w:szCs w:val="20"/>
          <w:lang w:eastAsia="en-US"/>
        </w:rPr>
        <w:t>Também será desclassificada a proposta que identifique o licitante.</w:t>
      </w:r>
    </w:p>
    <w:p>
      <w:pPr>
        <w:numPr>
          <w:ilvl w:val="2"/>
          <w:numId w:val="2"/>
        </w:numPr>
        <w:tabs>
          <w:tab w:val="left" w:pos="-426"/>
          <w:tab w:val="left" w:pos="-284"/>
          <w:tab w:val="left" w:pos="-142"/>
          <w:tab w:val="left" w:pos="0"/>
          <w:tab w:val="left" w:pos="709"/>
          <w:tab w:val="left" w:pos="851"/>
          <w:tab w:val="left" w:pos="1440"/>
        </w:tabs>
        <w:autoSpaceDE w:val="0"/>
        <w:snapToGrid w:val="0"/>
        <w:spacing w:before="120" w:after="120" w:line="276" w:lineRule="auto"/>
        <w:ind w:left="0" w:firstLine="0"/>
        <w:jc w:val="both"/>
        <w:rPr>
          <w:rFonts w:hint="default" w:ascii="Times New Roman" w:hAnsi="Times New Roman" w:cs="Times New Roman"/>
          <w:color w:val="000000"/>
          <w:sz w:val="20"/>
          <w:szCs w:val="20"/>
          <w:lang w:eastAsia="en-US"/>
        </w:rPr>
      </w:pPr>
      <w:r>
        <w:rPr>
          <w:rFonts w:hint="default" w:ascii="Times New Roman" w:hAnsi="Times New Roman" w:cs="Times New Roman"/>
          <w:color w:val="000000"/>
          <w:sz w:val="20"/>
          <w:szCs w:val="20"/>
        </w:rPr>
        <w:t>A desclassificação será sempre fundamentada e registrada no sistema, com acompanhamento em tempo real por todos os participantes.</w:t>
      </w:r>
    </w:p>
    <w:p>
      <w:pPr>
        <w:numPr>
          <w:ilvl w:val="2"/>
          <w:numId w:val="2"/>
        </w:numPr>
        <w:tabs>
          <w:tab w:val="left" w:pos="-426"/>
          <w:tab w:val="left" w:pos="-284"/>
          <w:tab w:val="left" w:pos="-142"/>
          <w:tab w:val="left" w:pos="0"/>
          <w:tab w:val="left" w:pos="709"/>
          <w:tab w:val="left" w:pos="851"/>
          <w:tab w:val="left" w:pos="1440"/>
        </w:tabs>
        <w:autoSpaceDE w:val="0"/>
        <w:snapToGrid w:val="0"/>
        <w:spacing w:before="120" w:after="120" w:line="276" w:lineRule="auto"/>
        <w:ind w:left="0" w:firstLine="0"/>
        <w:jc w:val="both"/>
        <w:rPr>
          <w:rFonts w:hint="default" w:ascii="Times New Roman" w:hAnsi="Times New Roman" w:cs="Times New Roman"/>
          <w:color w:val="000000"/>
          <w:sz w:val="20"/>
          <w:szCs w:val="20"/>
          <w:lang w:eastAsia="en-US"/>
        </w:rPr>
      </w:pPr>
      <w:r>
        <w:rPr>
          <w:rFonts w:hint="default" w:ascii="Times New Roman" w:hAnsi="Times New Roman" w:cs="Times New Roman"/>
          <w:color w:val="000000"/>
          <w:sz w:val="20"/>
          <w:szCs w:val="20"/>
        </w:rPr>
        <w:t>A não desclassificação da proposta não impede o seu julgamento definitivo em sentido contrário, levado a efeito na fase de aceitação.</w:t>
      </w:r>
    </w:p>
    <w:p>
      <w:pPr>
        <w:pStyle w:val="23"/>
        <w:numPr>
          <w:ilvl w:val="1"/>
          <w:numId w:val="2"/>
        </w:numPr>
        <w:tabs>
          <w:tab w:val="left" w:pos="-426"/>
          <w:tab w:val="left" w:pos="-284"/>
          <w:tab w:val="left" w:pos="-142"/>
          <w:tab w:val="left" w:pos="0"/>
          <w:tab w:val="left" w:pos="709"/>
          <w:tab w:val="left" w:pos="851"/>
        </w:tabs>
        <w:spacing w:before="120" w:after="120" w:line="276" w:lineRule="auto"/>
        <w:ind w:left="0" w:firstLine="0"/>
        <w:jc w:val="both"/>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O sistema ordenará automaticamente as propostas classificadas, sendo que somente estas participarão da fase de lances.</w:t>
      </w:r>
    </w:p>
    <w:p>
      <w:pPr>
        <w:pStyle w:val="23"/>
        <w:numPr>
          <w:ilvl w:val="1"/>
          <w:numId w:val="2"/>
        </w:numPr>
        <w:tabs>
          <w:tab w:val="left" w:pos="-426"/>
          <w:tab w:val="left" w:pos="-284"/>
          <w:tab w:val="left" w:pos="-142"/>
          <w:tab w:val="left" w:pos="0"/>
          <w:tab w:val="left" w:pos="709"/>
          <w:tab w:val="left" w:pos="851"/>
        </w:tabs>
        <w:spacing w:before="120" w:after="120" w:line="276" w:lineRule="auto"/>
        <w:ind w:left="0" w:firstLine="0"/>
        <w:jc w:val="both"/>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O sistema disponibilizará campo próprio para troca de mensagens entre a pregoeira e os licitantes.</w:t>
      </w:r>
    </w:p>
    <w:p>
      <w:pPr>
        <w:pStyle w:val="23"/>
        <w:numPr>
          <w:ilvl w:val="1"/>
          <w:numId w:val="2"/>
        </w:numPr>
        <w:tabs>
          <w:tab w:val="left" w:pos="-426"/>
          <w:tab w:val="left" w:pos="-284"/>
          <w:tab w:val="left" w:pos="-142"/>
          <w:tab w:val="left" w:pos="0"/>
          <w:tab w:val="left" w:pos="709"/>
          <w:tab w:val="left" w:pos="851"/>
        </w:tabs>
        <w:spacing w:before="120" w:after="120" w:line="276" w:lineRule="auto"/>
        <w:ind w:left="0" w:firstLine="0"/>
        <w:jc w:val="both"/>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 xml:space="preserve">Iniciada a etapa competitiva, os licitantes deverão encaminhar lances </w:t>
      </w:r>
      <w:r>
        <w:rPr>
          <w:rFonts w:hint="default" w:ascii="Times New Roman" w:hAnsi="Times New Roman" w:cs="Times New Roman"/>
          <w:color w:val="000000"/>
          <w:sz w:val="20"/>
          <w:szCs w:val="20"/>
          <w:lang w:eastAsia="en-US"/>
        </w:rPr>
        <w:t>exclusivamente por meio do sistema eletrônico, sendo imediatamente</w:t>
      </w:r>
      <w:r>
        <w:rPr>
          <w:rFonts w:hint="default" w:ascii="Times New Roman" w:hAnsi="Times New Roman" w:cs="Times New Roman"/>
          <w:color w:val="000000"/>
          <w:sz w:val="20"/>
          <w:szCs w:val="20"/>
        </w:rPr>
        <w:t xml:space="preserve"> informados do seu recebimento e do valor consignado no registro. </w:t>
      </w:r>
    </w:p>
    <w:p>
      <w:pPr>
        <w:pStyle w:val="23"/>
        <w:numPr>
          <w:ilvl w:val="2"/>
          <w:numId w:val="2"/>
        </w:numPr>
        <w:tabs>
          <w:tab w:val="left" w:pos="-426"/>
          <w:tab w:val="left" w:pos="-284"/>
          <w:tab w:val="left" w:pos="-142"/>
          <w:tab w:val="left" w:pos="0"/>
          <w:tab w:val="left" w:pos="709"/>
          <w:tab w:val="left" w:pos="851"/>
          <w:tab w:val="left" w:pos="1440"/>
        </w:tabs>
        <w:autoSpaceDE w:val="0"/>
        <w:snapToGrid w:val="0"/>
        <w:spacing w:line="276" w:lineRule="auto"/>
        <w:ind w:left="0" w:firstLine="0"/>
        <w:jc w:val="both"/>
        <w:rPr>
          <w:rFonts w:hint="default" w:ascii="Times New Roman" w:hAnsi="Times New Roman" w:cs="Times New Roman"/>
          <w:sz w:val="20"/>
          <w:szCs w:val="20"/>
        </w:rPr>
      </w:pPr>
      <w:r>
        <w:rPr>
          <w:rFonts w:hint="default" w:ascii="Times New Roman" w:hAnsi="Times New Roman" w:cs="Times New Roman"/>
          <w:sz w:val="20"/>
          <w:szCs w:val="20"/>
        </w:rPr>
        <w:t>O lance deverá ser ofertado pelo valor unitário do item.</w:t>
      </w:r>
    </w:p>
    <w:p>
      <w:pPr>
        <w:pStyle w:val="23"/>
        <w:numPr>
          <w:ilvl w:val="1"/>
          <w:numId w:val="2"/>
        </w:numPr>
        <w:tabs>
          <w:tab w:val="left" w:pos="-426"/>
          <w:tab w:val="left" w:pos="-284"/>
          <w:tab w:val="left" w:pos="-142"/>
          <w:tab w:val="left" w:pos="142"/>
          <w:tab w:val="left" w:pos="567"/>
          <w:tab w:val="left" w:pos="709"/>
          <w:tab w:val="left" w:pos="851"/>
        </w:tabs>
        <w:spacing w:line="276" w:lineRule="auto"/>
        <w:ind w:left="0" w:firstLine="0"/>
        <w:jc w:val="both"/>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Os licitantes poderão oferecer lances sucessivos, observando o horário fixado para abertura da sessão e as regras estabelecidas no Edital.</w:t>
      </w:r>
    </w:p>
    <w:p>
      <w:pPr>
        <w:pStyle w:val="23"/>
        <w:numPr>
          <w:ilvl w:val="1"/>
          <w:numId w:val="2"/>
        </w:numPr>
        <w:tabs>
          <w:tab w:val="left" w:pos="-426"/>
          <w:tab w:val="left" w:pos="-284"/>
          <w:tab w:val="left" w:pos="-142"/>
          <w:tab w:val="left" w:pos="142"/>
          <w:tab w:val="left" w:pos="567"/>
          <w:tab w:val="left" w:pos="709"/>
          <w:tab w:val="left" w:pos="851"/>
        </w:tabs>
        <w:spacing w:line="276" w:lineRule="auto"/>
        <w:ind w:left="0" w:firstLine="0"/>
        <w:jc w:val="both"/>
        <w:rPr>
          <w:rFonts w:hint="default" w:ascii="Times New Roman" w:hAnsi="Times New Roman" w:cs="Times New Roman"/>
          <w:color w:val="000000"/>
          <w:sz w:val="20"/>
          <w:szCs w:val="20"/>
        </w:rPr>
      </w:pPr>
      <w:r>
        <w:rPr>
          <w:rFonts w:hint="default" w:ascii="Times New Roman" w:hAnsi="Times New Roman" w:cs="Times New Roman"/>
          <w:sz w:val="20"/>
          <w:szCs w:val="20"/>
        </w:rPr>
        <w:t>O licitante somente poderá oferecer lance de valor inferior ao último por ele ofertado e registrado pelo sistema.</w:t>
      </w:r>
    </w:p>
    <w:p>
      <w:pPr>
        <w:pStyle w:val="23"/>
        <w:numPr>
          <w:ilvl w:val="1"/>
          <w:numId w:val="2"/>
        </w:numPr>
        <w:tabs>
          <w:tab w:val="left" w:pos="-426"/>
          <w:tab w:val="left" w:pos="-284"/>
          <w:tab w:val="left" w:pos="-142"/>
        </w:tabs>
        <w:ind w:left="0" w:firstLine="0"/>
        <w:jc w:val="both"/>
        <w:rPr>
          <w:rFonts w:hint="default" w:ascii="Times New Roman" w:hAnsi="Times New Roman" w:cs="Times New Roman"/>
          <w:szCs w:val="20"/>
        </w:rPr>
      </w:pPr>
      <w:r>
        <w:rPr>
          <w:rFonts w:hint="default" w:ascii="Times New Roman" w:hAnsi="Times New Roman" w:cs="Times New Roman"/>
          <w:sz w:val="20"/>
          <w:szCs w:val="20"/>
        </w:rPr>
        <w:t>O intervalo mínimo de diferença de valores entre os lances, que incidirá tanto em relação aos lances intermediários quanto em relação à proposta que cobrir a melhor oferta, e deverá ser de no mínimo R$ 0,01 (um centavo).</w:t>
      </w:r>
      <w:r>
        <w:rPr>
          <w:rStyle w:val="10"/>
          <w:rFonts w:hint="default" w:ascii="Times New Roman" w:hAnsi="Times New Roman" w:cs="Times New Roman"/>
          <w:sz w:val="20"/>
          <w:szCs w:val="20"/>
        </w:rPr>
        <w:footnoteReference w:id="3"/>
      </w:r>
    </w:p>
    <w:p>
      <w:pPr>
        <w:pStyle w:val="23"/>
        <w:numPr>
          <w:ilvl w:val="1"/>
          <w:numId w:val="2"/>
        </w:numPr>
        <w:spacing w:line="276" w:lineRule="auto"/>
        <w:ind w:left="0" w:firstLine="0"/>
        <w:jc w:val="both"/>
        <w:rPr>
          <w:rFonts w:hint="default" w:ascii="Times New Roman" w:hAnsi="Times New Roman" w:cs="Times New Roman"/>
          <w:iCs/>
          <w:sz w:val="20"/>
          <w:szCs w:val="20"/>
        </w:rPr>
      </w:pPr>
      <w:r>
        <w:rPr>
          <w:rFonts w:hint="default" w:ascii="Times New Roman" w:hAnsi="Times New Roman" w:cs="Times New Roman"/>
          <w:iCs/>
          <w:sz w:val="20"/>
          <w:szCs w:val="20"/>
        </w:rPr>
        <w:t xml:space="preserve">Será adotado </w:t>
      </w:r>
      <w:r>
        <w:rPr>
          <w:rFonts w:hint="default" w:ascii="Times New Roman" w:hAnsi="Times New Roman" w:cs="Times New Roman"/>
          <w:sz w:val="20"/>
          <w:szCs w:val="20"/>
        </w:rPr>
        <w:t xml:space="preserve">para o envio de lances no pregão eletrônico o modo de disputa “aberto”, em que os </w:t>
      </w:r>
      <w:r>
        <w:rPr>
          <w:rFonts w:hint="default" w:ascii="Times New Roman" w:hAnsi="Times New Roman" w:cs="Times New Roman"/>
          <w:iCs/>
          <w:sz w:val="20"/>
          <w:szCs w:val="20"/>
        </w:rPr>
        <w:t>licitantes</w:t>
      </w:r>
      <w:r>
        <w:rPr>
          <w:rFonts w:hint="default" w:ascii="Times New Roman" w:hAnsi="Times New Roman" w:cs="Times New Roman"/>
          <w:sz w:val="20"/>
          <w:szCs w:val="20"/>
        </w:rPr>
        <w:t xml:space="preserve"> apresentarão lances públicos e sucessivos, com prorrogações.</w:t>
      </w:r>
    </w:p>
    <w:p>
      <w:pPr>
        <w:pStyle w:val="23"/>
        <w:numPr>
          <w:ilvl w:val="0"/>
          <w:numId w:val="5"/>
        </w:numPr>
        <w:spacing w:line="276" w:lineRule="auto"/>
        <w:ind w:left="0" w:firstLine="0"/>
        <w:jc w:val="both"/>
        <w:rPr>
          <w:rFonts w:hint="default" w:ascii="Times New Roman" w:hAnsi="Times New Roman" w:cs="Times New Roman"/>
          <w:iCs/>
          <w:vanish/>
          <w:sz w:val="20"/>
          <w:szCs w:val="20"/>
        </w:rPr>
      </w:pPr>
    </w:p>
    <w:p>
      <w:pPr>
        <w:pStyle w:val="23"/>
        <w:numPr>
          <w:ilvl w:val="0"/>
          <w:numId w:val="5"/>
        </w:numPr>
        <w:spacing w:line="276" w:lineRule="auto"/>
        <w:ind w:left="0" w:firstLine="0"/>
        <w:jc w:val="both"/>
        <w:rPr>
          <w:rFonts w:hint="default" w:ascii="Times New Roman" w:hAnsi="Times New Roman" w:cs="Times New Roman"/>
          <w:iCs/>
          <w:vanish/>
          <w:sz w:val="20"/>
          <w:szCs w:val="20"/>
        </w:rPr>
      </w:pPr>
    </w:p>
    <w:p>
      <w:pPr>
        <w:pStyle w:val="23"/>
        <w:numPr>
          <w:ilvl w:val="1"/>
          <w:numId w:val="5"/>
        </w:numPr>
        <w:spacing w:line="276" w:lineRule="auto"/>
        <w:ind w:left="0" w:firstLine="0"/>
        <w:jc w:val="both"/>
        <w:rPr>
          <w:rFonts w:hint="default" w:ascii="Times New Roman" w:hAnsi="Times New Roman" w:cs="Times New Roman"/>
          <w:iCs/>
          <w:vanish/>
          <w:sz w:val="20"/>
          <w:szCs w:val="20"/>
        </w:rPr>
      </w:pPr>
    </w:p>
    <w:p>
      <w:pPr>
        <w:pStyle w:val="23"/>
        <w:numPr>
          <w:ilvl w:val="1"/>
          <w:numId w:val="5"/>
        </w:numPr>
        <w:spacing w:line="276" w:lineRule="auto"/>
        <w:ind w:left="0" w:firstLine="0"/>
        <w:jc w:val="both"/>
        <w:rPr>
          <w:rFonts w:hint="default" w:ascii="Times New Roman" w:hAnsi="Times New Roman" w:cs="Times New Roman"/>
          <w:iCs/>
          <w:vanish/>
          <w:sz w:val="20"/>
          <w:szCs w:val="20"/>
        </w:rPr>
      </w:pPr>
    </w:p>
    <w:p>
      <w:pPr>
        <w:pStyle w:val="23"/>
        <w:numPr>
          <w:ilvl w:val="1"/>
          <w:numId w:val="5"/>
        </w:numPr>
        <w:spacing w:line="276" w:lineRule="auto"/>
        <w:ind w:left="0" w:firstLine="0"/>
        <w:jc w:val="both"/>
        <w:rPr>
          <w:rFonts w:hint="default" w:ascii="Times New Roman" w:hAnsi="Times New Roman" w:cs="Times New Roman"/>
          <w:iCs/>
          <w:vanish/>
          <w:sz w:val="20"/>
          <w:szCs w:val="20"/>
        </w:rPr>
      </w:pPr>
    </w:p>
    <w:p>
      <w:pPr>
        <w:pStyle w:val="23"/>
        <w:numPr>
          <w:ilvl w:val="1"/>
          <w:numId w:val="5"/>
        </w:numPr>
        <w:spacing w:line="276" w:lineRule="auto"/>
        <w:ind w:left="0" w:firstLine="0"/>
        <w:jc w:val="both"/>
        <w:rPr>
          <w:rFonts w:hint="default" w:ascii="Times New Roman" w:hAnsi="Times New Roman" w:cs="Times New Roman"/>
          <w:iCs/>
          <w:vanish/>
          <w:sz w:val="20"/>
          <w:szCs w:val="20"/>
        </w:rPr>
      </w:pPr>
    </w:p>
    <w:p>
      <w:pPr>
        <w:pStyle w:val="23"/>
        <w:numPr>
          <w:ilvl w:val="1"/>
          <w:numId w:val="5"/>
        </w:numPr>
        <w:spacing w:line="276" w:lineRule="auto"/>
        <w:ind w:left="0" w:firstLine="0"/>
        <w:jc w:val="both"/>
        <w:rPr>
          <w:rFonts w:hint="default" w:ascii="Times New Roman" w:hAnsi="Times New Roman" w:cs="Times New Roman"/>
          <w:iCs/>
          <w:vanish/>
          <w:sz w:val="20"/>
          <w:szCs w:val="20"/>
        </w:rPr>
      </w:pPr>
    </w:p>
    <w:p>
      <w:pPr>
        <w:pStyle w:val="23"/>
        <w:numPr>
          <w:ilvl w:val="1"/>
          <w:numId w:val="5"/>
        </w:numPr>
        <w:spacing w:line="276" w:lineRule="auto"/>
        <w:ind w:left="0" w:firstLine="0"/>
        <w:jc w:val="both"/>
        <w:rPr>
          <w:rFonts w:hint="default" w:ascii="Times New Roman" w:hAnsi="Times New Roman" w:cs="Times New Roman"/>
          <w:iCs/>
          <w:vanish/>
          <w:sz w:val="20"/>
          <w:szCs w:val="20"/>
        </w:rPr>
      </w:pPr>
    </w:p>
    <w:p>
      <w:pPr>
        <w:pStyle w:val="23"/>
        <w:numPr>
          <w:ilvl w:val="1"/>
          <w:numId w:val="5"/>
        </w:numPr>
        <w:spacing w:line="276" w:lineRule="auto"/>
        <w:ind w:left="0" w:firstLine="0"/>
        <w:jc w:val="both"/>
        <w:rPr>
          <w:rFonts w:hint="default" w:ascii="Times New Roman" w:hAnsi="Times New Roman" w:cs="Times New Roman"/>
          <w:iCs/>
          <w:vanish/>
          <w:sz w:val="20"/>
          <w:szCs w:val="20"/>
        </w:rPr>
      </w:pPr>
    </w:p>
    <w:p>
      <w:pPr>
        <w:pStyle w:val="23"/>
        <w:numPr>
          <w:ilvl w:val="1"/>
          <w:numId w:val="5"/>
        </w:numPr>
        <w:spacing w:line="276" w:lineRule="auto"/>
        <w:ind w:left="0" w:firstLine="0"/>
        <w:jc w:val="both"/>
        <w:rPr>
          <w:rFonts w:hint="default" w:ascii="Times New Roman" w:hAnsi="Times New Roman" w:cs="Times New Roman"/>
          <w:iCs/>
          <w:vanish/>
          <w:sz w:val="20"/>
          <w:szCs w:val="20"/>
        </w:rPr>
      </w:pPr>
    </w:p>
    <w:p>
      <w:pPr>
        <w:pStyle w:val="23"/>
        <w:numPr>
          <w:ilvl w:val="1"/>
          <w:numId w:val="5"/>
        </w:numPr>
        <w:spacing w:line="276" w:lineRule="auto"/>
        <w:ind w:left="0" w:firstLine="0"/>
        <w:jc w:val="both"/>
        <w:rPr>
          <w:rFonts w:hint="default" w:ascii="Times New Roman" w:hAnsi="Times New Roman" w:cs="Times New Roman"/>
          <w:iCs/>
          <w:vanish/>
          <w:sz w:val="20"/>
          <w:szCs w:val="20"/>
        </w:rPr>
      </w:pPr>
    </w:p>
    <w:p>
      <w:pPr>
        <w:pStyle w:val="23"/>
        <w:spacing w:line="276" w:lineRule="auto"/>
        <w:ind w:left="0"/>
        <w:jc w:val="both"/>
        <w:rPr>
          <w:rFonts w:hint="default" w:ascii="Times New Roman" w:hAnsi="Times New Roman" w:cs="Times New Roman"/>
          <w:iCs/>
          <w:sz w:val="20"/>
          <w:szCs w:val="20"/>
        </w:rPr>
      </w:pPr>
      <w:r>
        <w:rPr>
          <w:rFonts w:hint="default" w:ascii="Times New Roman" w:hAnsi="Times New Roman" w:cs="Times New Roman"/>
          <w:sz w:val="20"/>
          <w:szCs w:val="20"/>
        </w:rPr>
        <w:t>6.10    A etapa de lances da sessão pública terá duração de dez minutos e, após isso, será prorrogada automaticamente pelo sistema quando houver lance ofertado nos últimos dois minutos do período de duração da sessão pública.</w:t>
      </w:r>
    </w:p>
    <w:p>
      <w:pPr>
        <w:pStyle w:val="67"/>
        <w:numPr>
          <w:ilvl w:val="1"/>
          <w:numId w:val="6"/>
        </w:numPr>
        <w:spacing w:line="276" w:lineRule="auto"/>
        <w:jc w:val="both"/>
        <w:rPr>
          <w:rFonts w:hint="default" w:ascii="Times New Roman" w:hAnsi="Times New Roman" w:cs="Times New Roman"/>
          <w:iCs/>
          <w:sz w:val="20"/>
          <w:szCs w:val="20"/>
        </w:rPr>
      </w:pPr>
      <w:r>
        <w:rPr>
          <w:rFonts w:hint="default" w:ascii="Times New Roman" w:hAnsi="Times New Roman" w:cs="Times New Roman"/>
          <w:sz w:val="20"/>
          <w:szCs w:val="20"/>
        </w:rPr>
        <w:t xml:space="preserve"> A prorrogação automática da etapa de lances, de que trata o item anterior, será de dois minutos e ocorrerá sucessivamente sempre que houver lances enviados nesse período de prorrogação, inclusive no caso de lances intermediários.</w:t>
      </w:r>
    </w:p>
    <w:p>
      <w:pPr>
        <w:numPr>
          <w:ilvl w:val="1"/>
          <w:numId w:val="6"/>
        </w:numPr>
        <w:spacing w:line="276" w:lineRule="auto"/>
        <w:ind w:left="0" w:firstLine="0"/>
        <w:jc w:val="both"/>
        <w:rPr>
          <w:rFonts w:hint="default" w:ascii="Times New Roman" w:hAnsi="Times New Roman" w:cs="Times New Roman"/>
          <w:iCs/>
          <w:sz w:val="20"/>
          <w:szCs w:val="20"/>
        </w:rPr>
      </w:pPr>
      <w:r>
        <w:rPr>
          <w:rFonts w:hint="default" w:ascii="Times New Roman" w:hAnsi="Times New Roman" w:cs="Times New Roman"/>
          <w:sz w:val="20"/>
          <w:szCs w:val="20"/>
        </w:rPr>
        <w:t>Não havendo novos lances na forma estabelecida nos itens anteriores, a sessão pública encerrar-se-á automaticamente.</w:t>
      </w:r>
    </w:p>
    <w:p>
      <w:pPr>
        <w:numPr>
          <w:ilvl w:val="1"/>
          <w:numId w:val="6"/>
        </w:numPr>
        <w:spacing w:line="276" w:lineRule="auto"/>
        <w:ind w:left="0" w:firstLine="0"/>
        <w:jc w:val="both"/>
        <w:rPr>
          <w:rFonts w:hint="default" w:ascii="Times New Roman" w:hAnsi="Times New Roman" w:cs="Times New Roman"/>
          <w:iCs/>
          <w:sz w:val="20"/>
          <w:szCs w:val="20"/>
        </w:rPr>
      </w:pPr>
      <w:r>
        <w:rPr>
          <w:rFonts w:hint="default" w:ascii="Times New Roman" w:hAnsi="Times New Roman" w:cs="Times New Roman"/>
          <w:sz w:val="20"/>
          <w:szCs w:val="20"/>
        </w:rPr>
        <w:t>Encerrada a fase competitiva sem que haja a prorrogação automática pelo sistema, poderá a pregoeira, assessorado pela equipe de apoio, justificadamente, admitir o reinício da sessão pública de lances, em prol da consecução do melhor preço.</w:t>
      </w:r>
    </w:p>
    <w:p>
      <w:pPr>
        <w:pStyle w:val="23"/>
        <w:numPr>
          <w:ilvl w:val="1"/>
          <w:numId w:val="7"/>
        </w:numPr>
        <w:spacing w:line="276" w:lineRule="auto"/>
        <w:ind w:left="0" w:firstLine="0"/>
        <w:jc w:val="both"/>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Não serão aceitos dois ou mais lances de mesmo valor, prevalecendo aquele que for recebido e registrado em primeiro lugar.</w:t>
      </w:r>
    </w:p>
    <w:p>
      <w:pPr>
        <w:pStyle w:val="23"/>
        <w:numPr>
          <w:ilvl w:val="1"/>
          <w:numId w:val="7"/>
        </w:numPr>
        <w:spacing w:line="276" w:lineRule="auto"/>
        <w:ind w:left="0" w:firstLine="0"/>
        <w:jc w:val="both"/>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 xml:space="preserve">Durante o transcurso da sessão pública, os licitantes serão informados, em tempo real, do valor do menor lance registrado, vedada a identificação do licitante. </w:t>
      </w:r>
    </w:p>
    <w:p>
      <w:pPr>
        <w:pStyle w:val="23"/>
        <w:numPr>
          <w:ilvl w:val="1"/>
          <w:numId w:val="7"/>
        </w:numPr>
        <w:spacing w:before="120" w:after="120" w:line="276" w:lineRule="auto"/>
        <w:ind w:left="0" w:hanging="1"/>
        <w:jc w:val="both"/>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 xml:space="preserve">No caso de desconexão com a pregoeira, no decorrer da etapa competitiva do Pregão, o sistema eletrônico poderá permanecer acessível aos licitantes para a recepção dos lances. </w:t>
      </w:r>
    </w:p>
    <w:p>
      <w:pPr>
        <w:pStyle w:val="23"/>
        <w:numPr>
          <w:ilvl w:val="1"/>
          <w:numId w:val="2"/>
        </w:numPr>
        <w:spacing w:before="120" w:after="120" w:line="276" w:lineRule="auto"/>
        <w:ind w:left="0" w:firstLine="0"/>
        <w:jc w:val="both"/>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 xml:space="preserve">Quando a desconexão do sistema eletrônico para a pregoeira persistir por tempo superior a dez minutos, a sessão pública será suspensa e reiniciada somente após decorridas vinte e quatro horas da comunicação do fato pela pregoeira aos participantes, no sítio eletrônico utilizado para divulgação. </w:t>
      </w:r>
    </w:p>
    <w:p>
      <w:pPr>
        <w:pStyle w:val="23"/>
        <w:numPr>
          <w:ilvl w:val="1"/>
          <w:numId w:val="2"/>
        </w:numPr>
        <w:spacing w:before="120" w:after="120" w:line="276" w:lineRule="auto"/>
        <w:ind w:left="0" w:firstLine="0"/>
        <w:jc w:val="both"/>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 xml:space="preserve">O Critério de julgamento adotado será o </w:t>
      </w:r>
      <w:r>
        <w:rPr>
          <w:rFonts w:hint="default" w:ascii="Times New Roman" w:hAnsi="Times New Roman" w:cs="Times New Roman"/>
          <w:sz w:val="20"/>
          <w:szCs w:val="20"/>
        </w:rPr>
        <w:t>menor preço</w:t>
      </w:r>
      <w:r>
        <w:rPr>
          <w:rFonts w:hint="default" w:ascii="Times New Roman" w:hAnsi="Times New Roman" w:cs="Times New Roman"/>
          <w:color w:val="000000"/>
          <w:sz w:val="20"/>
          <w:szCs w:val="20"/>
        </w:rPr>
        <w:t xml:space="preserve">, conforme definido neste Edital e seus anexos. </w:t>
      </w:r>
    </w:p>
    <w:p>
      <w:pPr>
        <w:numPr>
          <w:ilvl w:val="1"/>
          <w:numId w:val="2"/>
        </w:numPr>
        <w:spacing w:before="120" w:after="120" w:line="276" w:lineRule="auto"/>
        <w:ind w:left="0" w:firstLine="0"/>
        <w:jc w:val="both"/>
        <w:rPr>
          <w:rFonts w:hint="default" w:ascii="Times New Roman" w:hAnsi="Times New Roman" w:cs="Times New Roman"/>
          <w:sz w:val="20"/>
          <w:szCs w:val="20"/>
        </w:rPr>
      </w:pPr>
      <w:r>
        <w:rPr>
          <w:rFonts w:hint="default" w:ascii="Times New Roman" w:hAnsi="Times New Roman" w:cs="Times New Roman"/>
          <w:sz w:val="20"/>
          <w:szCs w:val="20"/>
          <w:lang w:eastAsia="en-US"/>
        </w:rPr>
        <w:t>Caso o licitante não apresente lances, concorrerá com o valor de sua proposta.</w:t>
      </w:r>
    </w:p>
    <w:p>
      <w:pPr>
        <w:numPr>
          <w:ilvl w:val="1"/>
          <w:numId w:val="2"/>
        </w:numPr>
        <w:spacing w:before="120" w:after="120" w:line="276" w:lineRule="auto"/>
        <w:ind w:left="0" w:firstLine="0"/>
        <w:jc w:val="both"/>
        <w:rPr>
          <w:rFonts w:hint="default" w:ascii="Times New Roman" w:hAnsi="Times New Roman" w:cs="Times New Roman"/>
          <w:sz w:val="20"/>
          <w:szCs w:val="20"/>
        </w:rPr>
      </w:pPr>
      <w:bookmarkStart w:id="4" w:name="_Hlk51912522"/>
      <w:r>
        <w:rPr>
          <w:rFonts w:hint="default" w:ascii="Times New Roman" w:hAnsi="Times New Roman" w:cs="Times New Roman"/>
          <w:sz w:val="20"/>
          <w:szCs w:val="20"/>
        </w:rPr>
        <w:t xml:space="preserve">Em relação a itens não exclusivos para participação de microempresas e empresas de pequeno porte, </w:t>
      </w:r>
      <w:r>
        <w:rPr>
          <w:rFonts w:hint="default" w:ascii="Times New Roman" w:hAnsi="Times New Roman" w:cs="Times New Roman"/>
          <w:b/>
          <w:sz w:val="20"/>
          <w:szCs w:val="20"/>
          <w:u w:val="single"/>
        </w:rPr>
        <w:t>caso haja</w:t>
      </w:r>
      <w:r>
        <w:rPr>
          <w:rFonts w:hint="default" w:ascii="Times New Roman" w:hAnsi="Times New Roman" w:cs="Times New Roman"/>
          <w:sz w:val="20"/>
          <w:szCs w:val="20"/>
        </w:rPr>
        <w:t xml:space="preserv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 </w:t>
      </w:r>
    </w:p>
    <w:bookmarkEnd w:id="4"/>
    <w:p>
      <w:pPr>
        <w:pStyle w:val="23"/>
        <w:numPr>
          <w:ilvl w:val="1"/>
          <w:numId w:val="2"/>
        </w:numPr>
        <w:spacing w:before="120" w:after="120" w:line="276" w:lineRule="auto"/>
        <w:ind w:left="0" w:firstLine="0"/>
        <w:jc w:val="both"/>
        <w:rPr>
          <w:rFonts w:hint="default" w:ascii="Times New Roman" w:hAnsi="Times New Roman" w:cs="Times New Roman"/>
          <w:color w:val="000000"/>
          <w:sz w:val="20"/>
          <w:szCs w:val="20"/>
          <w:lang w:eastAsia="en-US"/>
        </w:rPr>
      </w:pPr>
      <w:r>
        <w:rPr>
          <w:rFonts w:hint="default" w:ascii="Times New Roman" w:hAnsi="Times New Roman" w:cs="Times New Roman"/>
          <w:color w:val="000000"/>
          <w:sz w:val="20"/>
          <w:szCs w:val="20"/>
          <w:lang w:eastAsia="en-US"/>
        </w:rPr>
        <w:t xml:space="preserve">Nessas condições, as propostas de microempresas e empresas de pequeno porte que se encontrarem na faixa de até 5% (cinco por cento) acima da </w:t>
      </w:r>
      <w:r>
        <w:rPr>
          <w:rFonts w:hint="default" w:ascii="Times New Roman" w:hAnsi="Times New Roman" w:cs="Times New Roman"/>
          <w:color w:val="000000"/>
          <w:sz w:val="20"/>
          <w:szCs w:val="20"/>
        </w:rPr>
        <w:t>melhor proposta ou melhor lance</w:t>
      </w:r>
      <w:r>
        <w:rPr>
          <w:rFonts w:hint="default" w:ascii="Times New Roman" w:hAnsi="Times New Roman" w:cs="Times New Roman"/>
          <w:color w:val="000000"/>
          <w:sz w:val="20"/>
          <w:szCs w:val="20"/>
          <w:lang w:eastAsia="en-US"/>
        </w:rPr>
        <w:t xml:space="preserve"> serão consideradas empatadas com a primeira colocada.</w:t>
      </w:r>
    </w:p>
    <w:p>
      <w:pPr>
        <w:pStyle w:val="23"/>
        <w:numPr>
          <w:ilvl w:val="1"/>
          <w:numId w:val="2"/>
        </w:numPr>
        <w:spacing w:before="120" w:after="120" w:line="276" w:lineRule="auto"/>
        <w:ind w:left="0" w:firstLine="0"/>
        <w:jc w:val="both"/>
        <w:rPr>
          <w:rFonts w:hint="default" w:ascii="Times New Roman" w:hAnsi="Times New Roman" w:cs="Times New Roman"/>
          <w:color w:val="000000"/>
          <w:sz w:val="20"/>
          <w:szCs w:val="20"/>
          <w:lang w:eastAsia="en-US"/>
        </w:rPr>
      </w:pPr>
      <w:r>
        <w:rPr>
          <w:rFonts w:hint="default" w:ascii="Times New Roman" w:hAnsi="Times New Roman" w:cs="Times New Roman"/>
          <w:color w:val="000000"/>
          <w:sz w:val="20"/>
          <w:szCs w:val="20"/>
          <w:lang w:eastAsia="en-US"/>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pPr>
        <w:pStyle w:val="23"/>
        <w:numPr>
          <w:ilvl w:val="1"/>
          <w:numId w:val="2"/>
        </w:numPr>
        <w:spacing w:before="120" w:after="120" w:line="276" w:lineRule="auto"/>
        <w:ind w:left="0" w:firstLine="0"/>
        <w:jc w:val="both"/>
        <w:rPr>
          <w:rFonts w:hint="default" w:ascii="Times New Roman" w:hAnsi="Times New Roman" w:cs="Times New Roman"/>
          <w:color w:val="000000"/>
          <w:sz w:val="20"/>
          <w:szCs w:val="20"/>
          <w:lang w:eastAsia="en-US"/>
        </w:rPr>
      </w:pPr>
      <w:r>
        <w:rPr>
          <w:rFonts w:hint="default" w:ascii="Times New Roman" w:hAnsi="Times New Roman" w:cs="Times New Roman"/>
          <w:color w:val="000000"/>
          <w:sz w:val="20"/>
          <w:szCs w:val="20"/>
          <w:lang w:eastAsia="en-US"/>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pPr>
        <w:pStyle w:val="23"/>
        <w:numPr>
          <w:ilvl w:val="1"/>
          <w:numId w:val="2"/>
        </w:numPr>
        <w:spacing w:before="120" w:after="120" w:line="276" w:lineRule="auto"/>
        <w:ind w:left="0" w:firstLine="0"/>
        <w:jc w:val="both"/>
        <w:rPr>
          <w:rFonts w:hint="default" w:ascii="Times New Roman" w:hAnsi="Times New Roman" w:cs="Times New Roman"/>
          <w:color w:val="000000"/>
          <w:sz w:val="20"/>
          <w:szCs w:val="20"/>
          <w:lang w:eastAsia="en-US"/>
        </w:rPr>
      </w:pPr>
      <w:r>
        <w:rPr>
          <w:rFonts w:hint="default" w:ascii="Times New Roman" w:hAnsi="Times New Roman" w:cs="Times New Roman"/>
          <w:color w:val="000000"/>
          <w:sz w:val="20"/>
          <w:szCs w:val="20"/>
          <w:lang w:eastAsia="en-US"/>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23"/>
        <w:numPr>
          <w:ilvl w:val="1"/>
          <w:numId w:val="2"/>
        </w:numPr>
        <w:spacing w:before="120" w:after="120" w:line="276" w:lineRule="auto"/>
        <w:ind w:left="0" w:firstLine="0"/>
        <w:jc w:val="both"/>
        <w:rPr>
          <w:rFonts w:hint="default" w:ascii="Times New Roman" w:hAnsi="Times New Roman" w:cs="Times New Roman"/>
          <w:color w:val="000000"/>
          <w:sz w:val="20"/>
          <w:szCs w:val="20"/>
          <w:lang w:eastAsia="en-US"/>
        </w:rPr>
      </w:pPr>
      <w:r>
        <w:rPr>
          <w:rFonts w:hint="default" w:ascii="Times New Roman" w:hAnsi="Times New Roman" w:cs="Times New Roman"/>
          <w:sz w:val="20"/>
          <w:szCs w:val="20"/>
        </w:rPr>
        <w:t xml:space="preserve">Só poderá haver empate entre propostas iguais (não seguidas de lances), ou entre lances finais da fase fechada do modo de disputa aberto e fechado. </w:t>
      </w:r>
    </w:p>
    <w:p>
      <w:pPr>
        <w:pStyle w:val="23"/>
        <w:numPr>
          <w:ilvl w:val="1"/>
          <w:numId w:val="2"/>
        </w:numPr>
        <w:spacing w:before="120" w:after="120" w:line="276" w:lineRule="auto"/>
        <w:ind w:left="0" w:firstLine="0"/>
        <w:jc w:val="both"/>
        <w:rPr>
          <w:rFonts w:hint="default" w:ascii="Times New Roman" w:hAnsi="Times New Roman" w:cs="Times New Roman"/>
          <w:color w:val="000000"/>
          <w:sz w:val="20"/>
          <w:szCs w:val="20"/>
          <w:lang w:eastAsia="en-US"/>
        </w:rPr>
      </w:pPr>
      <w:r>
        <w:rPr>
          <w:rFonts w:hint="default" w:ascii="Times New Roman" w:hAnsi="Times New Roman" w:cs="Times New Roman"/>
          <w:color w:val="000000"/>
          <w:sz w:val="20"/>
          <w:szCs w:val="20"/>
        </w:rPr>
        <w:t xml:space="preserve">Havendo </w:t>
      </w:r>
      <w:r>
        <w:rPr>
          <w:rFonts w:hint="default" w:ascii="Times New Roman" w:hAnsi="Times New Roman" w:cs="Times New Roman"/>
          <w:sz w:val="20"/>
          <w:szCs w:val="20"/>
        </w:rPr>
        <w:t>eventual</w:t>
      </w:r>
      <w:r>
        <w:rPr>
          <w:rFonts w:hint="default" w:ascii="Times New Roman" w:hAnsi="Times New Roman" w:cs="Times New Roman"/>
          <w:color w:val="000000"/>
          <w:sz w:val="20"/>
          <w:szCs w:val="20"/>
        </w:rPr>
        <w:t xml:space="preserve"> empate entre propostas ou lances</w:t>
      </w:r>
      <w:r>
        <w:rPr>
          <w:rFonts w:hint="default" w:ascii="Times New Roman" w:hAnsi="Times New Roman" w:cs="Times New Roman"/>
          <w:color w:val="000000"/>
          <w:sz w:val="20"/>
          <w:szCs w:val="20"/>
          <w:lang w:eastAsia="en-US"/>
        </w:rPr>
        <w:t>, o critério de desempate será aquele previsto no art. 3º, § 2º, da Lei nº 8.666, de 1993, assegurando-se a preferência, sucessivamente, aos bens produzidos:</w:t>
      </w:r>
    </w:p>
    <w:p>
      <w:pPr>
        <w:pStyle w:val="23"/>
        <w:numPr>
          <w:ilvl w:val="2"/>
          <w:numId w:val="2"/>
        </w:numPr>
        <w:spacing w:before="120" w:after="120" w:line="276" w:lineRule="auto"/>
        <w:ind w:left="0" w:firstLine="0"/>
        <w:jc w:val="both"/>
        <w:rPr>
          <w:rFonts w:hint="default" w:ascii="Times New Roman" w:hAnsi="Times New Roman" w:cs="Times New Roman"/>
          <w:color w:val="000000"/>
          <w:sz w:val="20"/>
          <w:szCs w:val="20"/>
          <w:lang w:eastAsia="en-US"/>
        </w:rPr>
      </w:pPr>
      <w:r>
        <w:rPr>
          <w:rFonts w:hint="default" w:ascii="Times New Roman" w:hAnsi="Times New Roman" w:cs="Times New Roman"/>
          <w:color w:val="000000"/>
          <w:sz w:val="20"/>
          <w:szCs w:val="20"/>
          <w:lang w:eastAsia="en-US"/>
        </w:rPr>
        <w:t>no país;</w:t>
      </w:r>
    </w:p>
    <w:p>
      <w:pPr>
        <w:pStyle w:val="23"/>
        <w:numPr>
          <w:ilvl w:val="2"/>
          <w:numId w:val="2"/>
        </w:numPr>
        <w:spacing w:before="120" w:after="120" w:line="276" w:lineRule="auto"/>
        <w:ind w:left="0" w:firstLine="0"/>
        <w:jc w:val="both"/>
        <w:rPr>
          <w:rFonts w:hint="default" w:ascii="Times New Roman" w:hAnsi="Times New Roman" w:cs="Times New Roman"/>
          <w:color w:val="000000"/>
          <w:sz w:val="20"/>
          <w:szCs w:val="20"/>
          <w:lang w:eastAsia="en-US"/>
        </w:rPr>
      </w:pPr>
      <w:r>
        <w:rPr>
          <w:rFonts w:hint="default" w:ascii="Times New Roman" w:hAnsi="Times New Roman" w:cs="Times New Roman"/>
          <w:color w:val="000000"/>
          <w:sz w:val="20"/>
          <w:szCs w:val="20"/>
          <w:lang w:eastAsia="en-US"/>
        </w:rPr>
        <w:t xml:space="preserve">por empresas brasileiras; </w:t>
      </w:r>
    </w:p>
    <w:p>
      <w:pPr>
        <w:pStyle w:val="23"/>
        <w:numPr>
          <w:ilvl w:val="2"/>
          <w:numId w:val="2"/>
        </w:numPr>
        <w:spacing w:before="120" w:after="120" w:line="276" w:lineRule="auto"/>
        <w:ind w:left="0" w:firstLine="0"/>
        <w:jc w:val="both"/>
        <w:rPr>
          <w:rFonts w:hint="default" w:ascii="Times New Roman" w:hAnsi="Times New Roman" w:cs="Times New Roman"/>
          <w:color w:val="000000"/>
          <w:sz w:val="20"/>
          <w:szCs w:val="20"/>
          <w:lang w:eastAsia="en-US"/>
        </w:rPr>
      </w:pPr>
      <w:r>
        <w:rPr>
          <w:rFonts w:hint="default" w:ascii="Times New Roman" w:hAnsi="Times New Roman" w:cs="Times New Roman"/>
          <w:color w:val="000000"/>
          <w:sz w:val="20"/>
          <w:szCs w:val="20"/>
          <w:lang w:eastAsia="en-US"/>
        </w:rPr>
        <w:t>por empresas que invistam em pesquisa e no desenvolvimento de tecnologia no País;</w:t>
      </w:r>
    </w:p>
    <w:p>
      <w:pPr>
        <w:pStyle w:val="23"/>
        <w:numPr>
          <w:ilvl w:val="2"/>
          <w:numId w:val="2"/>
        </w:numPr>
        <w:spacing w:before="120" w:after="120" w:line="276" w:lineRule="auto"/>
        <w:ind w:left="0" w:firstLine="0"/>
        <w:jc w:val="both"/>
        <w:rPr>
          <w:rFonts w:hint="default" w:ascii="Times New Roman" w:hAnsi="Times New Roman" w:cs="Times New Roman"/>
          <w:color w:val="000000"/>
          <w:sz w:val="20"/>
          <w:szCs w:val="20"/>
          <w:lang w:eastAsia="en-US"/>
        </w:rPr>
      </w:pPr>
      <w:r>
        <w:rPr>
          <w:rFonts w:hint="default" w:ascii="Times New Roman" w:hAnsi="Times New Roman" w:cs="Times New Roman"/>
          <w:color w:val="000000"/>
          <w:sz w:val="20"/>
          <w:szCs w:val="20"/>
          <w:lang w:eastAsia="en-US"/>
        </w:rPr>
        <w:t>por empresas que comprovem cumprimento de reserva de cargos prevista em lei para pessoa com deficiência ou para reabilitado da Previdência Social e que atendam às regras de acessibilidade previstas na legislação.</w:t>
      </w:r>
    </w:p>
    <w:p>
      <w:pPr>
        <w:pStyle w:val="23"/>
        <w:numPr>
          <w:ilvl w:val="1"/>
          <w:numId w:val="2"/>
        </w:numPr>
        <w:spacing w:before="120" w:after="120" w:line="276" w:lineRule="auto"/>
        <w:ind w:left="0" w:firstLine="0"/>
        <w:jc w:val="both"/>
        <w:rPr>
          <w:rFonts w:hint="default" w:ascii="Times New Roman" w:hAnsi="Times New Roman" w:cs="Times New Roman"/>
          <w:color w:val="000000"/>
          <w:sz w:val="20"/>
          <w:szCs w:val="20"/>
          <w:lang w:eastAsia="en-US"/>
        </w:rPr>
      </w:pPr>
      <w:r>
        <w:rPr>
          <w:rFonts w:hint="default" w:ascii="Times New Roman" w:hAnsi="Times New Roman" w:cs="Times New Roman"/>
          <w:sz w:val="20"/>
          <w:szCs w:val="20"/>
        </w:rPr>
        <w:t xml:space="preserve">Persistindo o empate, </w:t>
      </w:r>
      <w:r>
        <w:rPr>
          <w:rFonts w:hint="default" w:ascii="Times New Roman" w:hAnsi="Times New Roman" w:cs="Times New Roman"/>
          <w:color w:val="000000"/>
          <w:sz w:val="20"/>
          <w:szCs w:val="20"/>
        </w:rPr>
        <w:t>a proposta vencedora será sorteada pelo sistema eletrônico dentre as propostas ou os lances empatados</w:t>
      </w:r>
      <w:r>
        <w:rPr>
          <w:rFonts w:hint="default" w:ascii="Times New Roman" w:hAnsi="Times New Roman" w:cs="Times New Roman"/>
          <w:sz w:val="20"/>
          <w:szCs w:val="20"/>
        </w:rPr>
        <w:t>.</w:t>
      </w:r>
    </w:p>
    <w:p>
      <w:pPr>
        <w:pStyle w:val="23"/>
        <w:numPr>
          <w:ilvl w:val="1"/>
          <w:numId w:val="2"/>
        </w:numPr>
        <w:tabs>
          <w:tab w:val="left" w:pos="-12"/>
        </w:tabs>
        <w:spacing w:before="120" w:after="120" w:line="276" w:lineRule="auto"/>
        <w:ind w:left="0" w:firstLine="0"/>
        <w:jc w:val="both"/>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Encerrada a etapa de envio de lances da sessão pública, a pregoeira deverá encaminhar, pelo sistema eletrônico, contraproposta ao licitante que tenha apresentado o melhor preço, para que seja obtida melhor proposta, vedada a negociação em condições diferentes das previstas neste Edital.</w:t>
      </w:r>
    </w:p>
    <w:p>
      <w:pPr>
        <w:pStyle w:val="23"/>
        <w:numPr>
          <w:ilvl w:val="2"/>
          <w:numId w:val="2"/>
        </w:numPr>
        <w:spacing w:before="120" w:after="120" w:line="276" w:lineRule="auto"/>
        <w:ind w:left="0" w:firstLine="0"/>
        <w:jc w:val="both"/>
        <w:rPr>
          <w:rFonts w:hint="default" w:ascii="Times New Roman" w:hAnsi="Times New Roman" w:cs="Times New Roman"/>
          <w:sz w:val="20"/>
          <w:szCs w:val="20"/>
          <w:lang w:eastAsia="en-US"/>
        </w:rPr>
      </w:pPr>
      <w:r>
        <w:rPr>
          <w:rFonts w:hint="default" w:ascii="Times New Roman" w:hAnsi="Times New Roman" w:cs="Times New Roman"/>
          <w:color w:val="000000"/>
          <w:sz w:val="20"/>
          <w:szCs w:val="20"/>
          <w:lang w:eastAsia="en-US"/>
        </w:rPr>
        <w:t xml:space="preserve">A negociação será realizada por meio do sistema, podendo ser acompanhada </w:t>
      </w:r>
      <w:r>
        <w:rPr>
          <w:rFonts w:hint="default" w:ascii="Times New Roman" w:hAnsi="Times New Roman" w:cs="Times New Roman"/>
          <w:sz w:val="20"/>
          <w:szCs w:val="20"/>
          <w:lang w:eastAsia="en-US"/>
        </w:rPr>
        <w:t>pelos demais licitantes.</w:t>
      </w:r>
    </w:p>
    <w:p>
      <w:pPr>
        <w:pStyle w:val="23"/>
        <w:numPr>
          <w:ilvl w:val="2"/>
          <w:numId w:val="2"/>
        </w:numPr>
        <w:tabs>
          <w:tab w:val="left" w:pos="-12"/>
        </w:tabs>
        <w:spacing w:before="120" w:after="120" w:line="276" w:lineRule="auto"/>
        <w:ind w:left="0" w:firstLine="0"/>
        <w:jc w:val="both"/>
        <w:rPr>
          <w:rFonts w:hint="default" w:ascii="Times New Roman" w:hAnsi="Times New Roman" w:cs="Times New Roman"/>
          <w:color w:val="000000"/>
          <w:sz w:val="20"/>
          <w:szCs w:val="20"/>
          <w:lang w:eastAsia="en-US"/>
        </w:rPr>
      </w:pPr>
      <w:bookmarkStart w:id="5" w:name="_Hlk51912567"/>
      <w:r>
        <w:rPr>
          <w:rFonts w:hint="default" w:ascii="Times New Roman" w:hAnsi="Times New Roman" w:cs="Times New Roman"/>
          <w:sz w:val="20"/>
          <w:szCs w:val="20"/>
        </w:rPr>
        <w:t xml:space="preserve">A pregoeira solicitará ao licitante melhor classificado que, no prazo de 02 (duas horas), envie a proposta adequada ao último lance ofertado após a negociação realizada, acompanhada, se for o caso, dos documentos complementares, quando necessários à confirmação daqueles exigidos neste Edital e já apresentados. </w:t>
      </w:r>
    </w:p>
    <w:p>
      <w:pPr>
        <w:pStyle w:val="23"/>
        <w:numPr>
          <w:ilvl w:val="2"/>
          <w:numId w:val="2"/>
        </w:numPr>
        <w:tabs>
          <w:tab w:val="left" w:pos="-12"/>
        </w:tabs>
        <w:spacing w:before="120" w:after="120" w:line="276" w:lineRule="auto"/>
        <w:ind w:left="0" w:firstLine="0"/>
        <w:jc w:val="both"/>
        <w:rPr>
          <w:rFonts w:hint="default" w:ascii="Times New Roman" w:hAnsi="Times New Roman" w:cs="Times New Roman"/>
          <w:color w:val="000000"/>
          <w:sz w:val="20"/>
          <w:szCs w:val="20"/>
          <w:lang w:eastAsia="en-US"/>
        </w:rPr>
      </w:pPr>
      <w:r>
        <w:rPr>
          <w:rFonts w:hint="default" w:ascii="Times New Roman" w:hAnsi="Times New Roman" w:cs="Times New Roman"/>
          <w:sz w:val="20"/>
          <w:szCs w:val="20"/>
        </w:rPr>
        <w:t>A critério da Pregoeira e visando a ampliação da competitividade o prazo estabelecido no item 6.28.2 poderá ser prorrogado</w:t>
      </w:r>
      <w:r>
        <w:rPr>
          <w:rFonts w:hint="default" w:ascii="Times New Roman" w:hAnsi="Times New Roman" w:cs="Times New Roman"/>
        </w:rPr>
        <w:t xml:space="preserve">. </w:t>
      </w:r>
    </w:p>
    <w:bookmarkEnd w:id="5"/>
    <w:p>
      <w:pPr>
        <w:pStyle w:val="23"/>
        <w:numPr>
          <w:ilvl w:val="1"/>
          <w:numId w:val="2"/>
        </w:numPr>
        <w:spacing w:before="120" w:after="120" w:line="276" w:lineRule="auto"/>
        <w:ind w:left="0" w:firstLine="0"/>
        <w:jc w:val="both"/>
        <w:rPr>
          <w:rFonts w:hint="default" w:ascii="Times New Roman" w:hAnsi="Times New Roman" w:cs="Times New Roman"/>
          <w:color w:val="000000"/>
          <w:sz w:val="20"/>
          <w:szCs w:val="20"/>
          <w:lang w:eastAsia="en-US"/>
        </w:rPr>
      </w:pPr>
      <w:r>
        <w:rPr>
          <w:rFonts w:hint="default" w:ascii="Times New Roman" w:hAnsi="Times New Roman" w:cs="Times New Roman"/>
          <w:color w:val="000000"/>
          <w:sz w:val="20"/>
          <w:szCs w:val="20"/>
          <w:lang w:eastAsia="en-US"/>
        </w:rPr>
        <w:t>Após a negociação do preço, a pregoeira iniciará a fase de aceitação e julgamento da proposta.</w:t>
      </w:r>
    </w:p>
    <w:p>
      <w:pPr>
        <w:pStyle w:val="38"/>
        <w:numPr>
          <w:ilvl w:val="0"/>
          <w:numId w:val="2"/>
        </w:numPr>
        <w:tabs>
          <w:tab w:val="left" w:pos="0"/>
        </w:tabs>
        <w:spacing w:before="0"/>
        <w:ind w:left="0" w:firstLine="0"/>
        <w:rPr>
          <w:rFonts w:hint="default" w:ascii="Times New Roman" w:hAnsi="Times New Roman" w:cs="Times New Roman"/>
          <w:lang w:eastAsia="en-US"/>
        </w:rPr>
      </w:pPr>
      <w:r>
        <w:rPr>
          <w:rFonts w:hint="default" w:ascii="Times New Roman" w:hAnsi="Times New Roman" w:cs="Times New Roman"/>
          <w:lang w:eastAsia="en-US"/>
        </w:rPr>
        <w:t>DA ACEITABILIDADE DA PROPOSTA VENCEDORA</w:t>
      </w:r>
    </w:p>
    <w:p>
      <w:pPr>
        <w:rPr>
          <w:rFonts w:hint="default" w:ascii="Times New Roman" w:hAnsi="Times New Roman" w:cs="Times New Roman"/>
          <w:lang w:eastAsia="en-US"/>
        </w:rPr>
      </w:pPr>
    </w:p>
    <w:p>
      <w:pPr>
        <w:pStyle w:val="23"/>
        <w:numPr>
          <w:ilvl w:val="1"/>
          <w:numId w:val="2"/>
        </w:numPr>
        <w:tabs>
          <w:tab w:val="left" w:pos="0"/>
        </w:tabs>
        <w:ind w:left="0" w:firstLine="0"/>
        <w:jc w:val="both"/>
        <w:rPr>
          <w:rFonts w:hint="default" w:ascii="Times New Roman" w:hAnsi="Times New Roman" w:cs="Times New Roman"/>
          <w:i/>
          <w:color w:val="000000"/>
          <w:sz w:val="20"/>
          <w:szCs w:val="20"/>
        </w:rPr>
      </w:pPr>
      <w:r>
        <w:rPr>
          <w:rFonts w:hint="default" w:ascii="Times New Roman" w:hAnsi="Times New Roman" w:cs="Times New Roman"/>
          <w:sz w:val="20"/>
          <w:szCs w:val="20"/>
        </w:rPr>
        <w:t xml:space="preserve">Encerrada </w:t>
      </w:r>
      <w:r>
        <w:rPr>
          <w:rFonts w:hint="default" w:ascii="Times New Roman" w:hAnsi="Times New Roman" w:cs="Times New Roman"/>
          <w:color w:val="000000"/>
          <w:sz w:val="20"/>
          <w:szCs w:val="20"/>
        </w:rPr>
        <w:t>a etapa de negociação, a pregoeira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n.º 02/2020 do CISMIV. </w:t>
      </w:r>
    </w:p>
    <w:p>
      <w:pPr>
        <w:pStyle w:val="23"/>
        <w:numPr>
          <w:ilvl w:val="1"/>
          <w:numId w:val="2"/>
        </w:numPr>
        <w:spacing w:before="120" w:after="120"/>
        <w:ind w:left="0" w:firstLine="0"/>
        <w:jc w:val="both"/>
        <w:rPr>
          <w:rFonts w:hint="default" w:ascii="Times New Roman" w:hAnsi="Times New Roman" w:cs="Times New Roman"/>
          <w:b/>
          <w:color w:val="7030A0"/>
          <w:sz w:val="20"/>
          <w:szCs w:val="20"/>
        </w:rPr>
      </w:pPr>
      <w:r>
        <w:rPr>
          <w:rFonts w:hint="default" w:ascii="Times New Roman" w:hAnsi="Times New Roman" w:cs="Times New Roman"/>
          <w:color w:val="000000"/>
          <w:sz w:val="20"/>
          <w:szCs w:val="20"/>
        </w:rPr>
        <w:t>Será desclassificada a proposta ou o lance vencedor que apresentar preço final superior ao preço máximo fixado (Acórdão nº 1455/2018 -TCU – Plenário</w:t>
      </w:r>
      <w:r>
        <w:rPr>
          <w:rStyle w:val="10"/>
          <w:rFonts w:hint="default" w:ascii="Times New Roman" w:hAnsi="Times New Roman" w:cs="Times New Roman"/>
          <w:color w:val="000000"/>
          <w:sz w:val="20"/>
          <w:szCs w:val="20"/>
        </w:rPr>
        <w:footnoteReference w:id="4"/>
      </w:r>
      <w:r>
        <w:rPr>
          <w:rFonts w:hint="default" w:ascii="Times New Roman" w:hAnsi="Times New Roman" w:cs="Times New Roman"/>
          <w:color w:val="000000"/>
          <w:sz w:val="20"/>
          <w:szCs w:val="20"/>
        </w:rPr>
        <w:t>), ou que apresentar preço manifestamente inexequível.</w:t>
      </w:r>
    </w:p>
    <w:p>
      <w:pPr>
        <w:pStyle w:val="23"/>
        <w:numPr>
          <w:ilvl w:val="2"/>
          <w:numId w:val="2"/>
        </w:numPr>
        <w:tabs>
          <w:tab w:val="left" w:pos="567"/>
        </w:tabs>
        <w:spacing w:before="120" w:after="120"/>
        <w:ind w:left="0" w:firstLine="0"/>
        <w:jc w:val="both"/>
        <w:rPr>
          <w:rFonts w:hint="default" w:ascii="Times New Roman" w:hAnsi="Times New Roman" w:cs="Times New Roman"/>
          <w:szCs w:val="20"/>
        </w:rPr>
      </w:pPr>
      <w:r>
        <w:rPr>
          <w:rFonts w:hint="default" w:ascii="Times New Roman" w:hAnsi="Times New Roman" w:cs="Times New Roman"/>
          <w:sz w:val="20"/>
          <w:szCs w:val="20"/>
        </w:rPr>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r>
        <w:rPr>
          <w:rFonts w:hint="default" w:ascii="Times New Roman" w:hAnsi="Times New Roman" w:cs="Times New Roman"/>
          <w:i/>
          <w:color w:val="FF0000"/>
          <w:sz w:val="20"/>
          <w:szCs w:val="20"/>
        </w:rPr>
        <w:t> </w:t>
      </w:r>
    </w:p>
    <w:p>
      <w:pPr>
        <w:pStyle w:val="23"/>
        <w:numPr>
          <w:ilvl w:val="1"/>
          <w:numId w:val="2"/>
        </w:numPr>
        <w:spacing w:before="120" w:after="120"/>
        <w:ind w:left="0" w:firstLine="0"/>
        <w:jc w:val="both"/>
        <w:rPr>
          <w:rFonts w:hint="default" w:ascii="Times New Roman" w:hAnsi="Times New Roman" w:cs="Times New Roman"/>
          <w:color w:val="000000"/>
          <w:sz w:val="20"/>
          <w:szCs w:val="20"/>
          <w:lang w:eastAsia="en-US"/>
        </w:rPr>
      </w:pPr>
      <w:r>
        <w:rPr>
          <w:rFonts w:hint="default" w:ascii="Times New Roman" w:hAnsi="Times New Roman" w:cs="Times New Roman"/>
          <w:color w:val="000000"/>
          <w:sz w:val="20"/>
          <w:szCs w:val="20"/>
          <w:lang w:eastAsia="en-US"/>
        </w:rPr>
        <w:t>Qualquer interessado poderá requerer que se realizem diligências para aferir a exequibilidade e a legalidade das propostas, devendo apresentar as provas ou os indícios que fundamentam a suspeita;</w:t>
      </w:r>
    </w:p>
    <w:p>
      <w:pPr>
        <w:pStyle w:val="23"/>
        <w:numPr>
          <w:ilvl w:val="1"/>
          <w:numId w:val="2"/>
        </w:numPr>
        <w:spacing w:before="120" w:after="120"/>
        <w:ind w:left="0" w:firstLine="0"/>
        <w:jc w:val="both"/>
        <w:rPr>
          <w:rFonts w:hint="default" w:ascii="Times New Roman" w:hAnsi="Times New Roman" w:cs="Times New Roman"/>
          <w:color w:val="000000"/>
          <w:sz w:val="20"/>
          <w:szCs w:val="20"/>
          <w:lang w:eastAsia="en-US"/>
        </w:rPr>
      </w:pPr>
      <w:r>
        <w:rPr>
          <w:rFonts w:hint="default" w:ascii="Times New Roman" w:hAnsi="Times New Roman" w:cs="Times New Roman"/>
          <w:color w:val="000000"/>
          <w:sz w:val="20"/>
          <w:szCs w:val="20"/>
          <w:lang w:eastAsia="en-US"/>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pPr>
        <w:pStyle w:val="23"/>
        <w:numPr>
          <w:ilvl w:val="1"/>
          <w:numId w:val="2"/>
        </w:numPr>
        <w:spacing w:before="120" w:after="120"/>
        <w:ind w:left="0" w:firstLine="0"/>
        <w:jc w:val="both"/>
        <w:rPr>
          <w:rFonts w:hint="default" w:ascii="Times New Roman" w:hAnsi="Times New Roman" w:cs="Times New Roman"/>
        </w:rPr>
      </w:pPr>
      <w:r>
        <w:rPr>
          <w:rFonts w:hint="default" w:ascii="Times New Roman" w:hAnsi="Times New Roman" w:cs="Times New Roman"/>
          <w:color w:val="000000"/>
          <w:sz w:val="20"/>
          <w:szCs w:val="20"/>
          <w:lang w:eastAsia="en-US"/>
        </w:rPr>
        <w:t xml:space="preserve">A pregoeira poderá convocar o licitante para enviar documento digital complementar, por </w:t>
      </w:r>
      <w:r>
        <w:rPr>
          <w:rFonts w:hint="default" w:ascii="Times New Roman" w:hAnsi="Times New Roman" w:cs="Times New Roman"/>
          <w:sz w:val="20"/>
          <w:szCs w:val="20"/>
          <w:lang w:eastAsia="en-US"/>
        </w:rPr>
        <w:t>meio de funcionalidade disponível no sistema, no prazo de 02 (duas) horas sob pena de não aceitação da proposta.</w:t>
      </w:r>
    </w:p>
    <w:p>
      <w:pPr>
        <w:numPr>
          <w:ilvl w:val="2"/>
          <w:numId w:val="2"/>
        </w:numPr>
        <w:spacing w:before="120" w:after="120" w:line="276" w:lineRule="auto"/>
        <w:ind w:left="0" w:firstLine="0"/>
        <w:jc w:val="both"/>
        <w:rPr>
          <w:rFonts w:hint="default" w:ascii="Times New Roman" w:hAnsi="Times New Roman" w:cs="Times New Roman"/>
          <w:color w:val="000000"/>
          <w:sz w:val="20"/>
          <w:szCs w:val="20"/>
          <w:lang w:eastAsia="en-US"/>
        </w:rPr>
      </w:pPr>
      <w:r>
        <w:rPr>
          <w:rFonts w:hint="default" w:ascii="Times New Roman" w:hAnsi="Times New Roman" w:cs="Times New Roman"/>
          <w:color w:val="000000"/>
          <w:sz w:val="20"/>
          <w:szCs w:val="20"/>
          <w:lang w:eastAsia="en-US"/>
        </w:rPr>
        <w:t xml:space="preserve">É facultado aa pregoeira prorrogar o prazo estabelecido, a partir de solicitação fundamentada feita no chat pelo licitante, antes de findo o prazo. </w:t>
      </w:r>
    </w:p>
    <w:p>
      <w:pPr>
        <w:numPr>
          <w:ilvl w:val="2"/>
          <w:numId w:val="2"/>
        </w:numPr>
        <w:spacing w:before="120" w:after="120" w:line="276" w:lineRule="auto"/>
        <w:ind w:left="0" w:firstLine="0"/>
        <w:jc w:val="both"/>
        <w:rPr>
          <w:rFonts w:hint="default" w:ascii="Times New Roman" w:hAnsi="Times New Roman" w:cs="Times New Roman"/>
          <w:color w:val="000000"/>
          <w:sz w:val="20"/>
          <w:szCs w:val="20"/>
          <w:lang w:eastAsia="en-US"/>
        </w:rPr>
      </w:pPr>
      <w:r>
        <w:rPr>
          <w:rFonts w:hint="default" w:ascii="Times New Roman" w:hAnsi="Times New Roman" w:cs="Times New Roman"/>
          <w:sz w:val="20"/>
          <w:szCs w:val="20"/>
          <w:lang w:eastAsia="en-US"/>
        </w:rPr>
        <w:t>Dentre os documentos passíveis de solicitação pela pregoeira,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pela pregoeira, sem prejuízo do seu ulterior envio pelo sistema eletrônico, sob pena de não aceitação da proposta.</w:t>
      </w:r>
    </w:p>
    <w:p>
      <w:pPr>
        <w:pStyle w:val="23"/>
        <w:numPr>
          <w:ilvl w:val="1"/>
          <w:numId w:val="2"/>
        </w:numPr>
        <w:spacing w:before="120" w:after="120"/>
        <w:ind w:left="0" w:firstLine="0"/>
        <w:jc w:val="both"/>
        <w:rPr>
          <w:rFonts w:hint="default" w:ascii="Times New Roman" w:hAnsi="Times New Roman" w:cs="Times New Roman"/>
          <w:bCs/>
          <w:iCs/>
          <w:color w:val="000000"/>
          <w:sz w:val="20"/>
          <w:szCs w:val="20"/>
        </w:rPr>
      </w:pPr>
      <w:r>
        <w:rPr>
          <w:rFonts w:hint="default" w:ascii="Times New Roman" w:hAnsi="Times New Roman" w:cs="Times New Roman"/>
          <w:bCs/>
          <w:iCs/>
          <w:color w:val="000000"/>
          <w:sz w:val="20"/>
          <w:szCs w:val="20"/>
        </w:rPr>
        <w:t>Se a proposta ou lance vencedor for desclassificado, a pregoeira examinará a proposta ou lance subsequente, e, assim sucessivamente, na ordem de classificação.</w:t>
      </w:r>
    </w:p>
    <w:p>
      <w:pPr>
        <w:pStyle w:val="23"/>
        <w:numPr>
          <w:ilvl w:val="1"/>
          <w:numId w:val="2"/>
        </w:numPr>
        <w:spacing w:before="120" w:after="120"/>
        <w:ind w:left="0" w:firstLine="0"/>
        <w:jc w:val="both"/>
        <w:rPr>
          <w:rFonts w:hint="default" w:ascii="Times New Roman" w:hAnsi="Times New Roman" w:cs="Times New Roman"/>
          <w:sz w:val="20"/>
          <w:szCs w:val="20"/>
        </w:rPr>
      </w:pPr>
      <w:r>
        <w:rPr>
          <w:rFonts w:hint="default" w:ascii="Times New Roman" w:hAnsi="Times New Roman" w:cs="Times New Roman"/>
          <w:color w:val="000000"/>
          <w:sz w:val="20"/>
          <w:szCs w:val="20"/>
          <w:lang w:eastAsia="en-US"/>
        </w:rPr>
        <w:t>Havendo necessidade, a pregoeira suspenderá a sessão, informando no “</w:t>
      </w:r>
      <w:r>
        <w:rPr>
          <w:rFonts w:hint="default" w:ascii="Times New Roman" w:hAnsi="Times New Roman" w:cs="Times New Roman"/>
          <w:i/>
          <w:color w:val="000000"/>
          <w:sz w:val="20"/>
          <w:szCs w:val="20"/>
          <w:lang w:eastAsia="en-US"/>
        </w:rPr>
        <w:t>chat</w:t>
      </w:r>
      <w:r>
        <w:rPr>
          <w:rFonts w:hint="default" w:ascii="Times New Roman" w:hAnsi="Times New Roman" w:cs="Times New Roman"/>
          <w:color w:val="000000"/>
          <w:sz w:val="20"/>
          <w:szCs w:val="20"/>
          <w:lang w:eastAsia="en-US"/>
        </w:rPr>
        <w:t xml:space="preserve">” a </w:t>
      </w:r>
      <w:r>
        <w:rPr>
          <w:rFonts w:hint="default" w:ascii="Times New Roman" w:hAnsi="Times New Roman" w:cs="Times New Roman"/>
          <w:sz w:val="20"/>
          <w:szCs w:val="20"/>
          <w:lang w:eastAsia="en-US"/>
        </w:rPr>
        <w:t>nova data e horário para a sua continuidade.</w:t>
      </w:r>
    </w:p>
    <w:p>
      <w:pPr>
        <w:pStyle w:val="23"/>
        <w:numPr>
          <w:ilvl w:val="1"/>
          <w:numId w:val="2"/>
        </w:numPr>
        <w:spacing w:before="120" w:after="120"/>
        <w:ind w:left="0" w:firstLine="0"/>
        <w:jc w:val="both"/>
        <w:rPr>
          <w:rFonts w:hint="default" w:ascii="Times New Roman" w:hAnsi="Times New Roman" w:cs="Times New Roman"/>
          <w:sz w:val="20"/>
          <w:szCs w:val="20"/>
        </w:rPr>
      </w:pPr>
      <w:r>
        <w:rPr>
          <w:rFonts w:hint="default" w:ascii="Times New Roman" w:hAnsi="Times New Roman" w:cs="Times New Roman"/>
          <w:sz w:val="20"/>
          <w:szCs w:val="20"/>
        </w:rPr>
        <w:t>A pregoeira poderá solicitar redução de preços ao licitante que apresentou o lance mais vantajoso, com o fim de negociar a obtenção de melhor preço, vedada a negociação em condições diversas das previstas neste Edital.</w:t>
      </w:r>
    </w:p>
    <w:p>
      <w:pPr>
        <w:numPr>
          <w:ilvl w:val="2"/>
          <w:numId w:val="2"/>
        </w:numPr>
        <w:tabs>
          <w:tab w:val="left" w:pos="1440"/>
        </w:tabs>
        <w:autoSpaceDE w:val="0"/>
        <w:snapToGrid w:val="0"/>
        <w:spacing w:before="120" w:after="120"/>
        <w:ind w:left="0" w:firstLine="0"/>
        <w:jc w:val="both"/>
        <w:rPr>
          <w:rFonts w:hint="default" w:ascii="Times New Roman" w:hAnsi="Times New Roman" w:cs="Times New Roman"/>
          <w:sz w:val="20"/>
          <w:szCs w:val="20"/>
        </w:rPr>
      </w:pPr>
      <w:r>
        <w:rPr>
          <w:rFonts w:hint="default" w:ascii="Times New Roman" w:hAnsi="Times New Roman" w:cs="Times New Roman"/>
          <w:sz w:val="20"/>
          <w:szCs w:val="20"/>
        </w:rPr>
        <w:t>Também nas hipóteses em que a pregoeira não aceitar a proposta e passar à subsequente, poderá negociar com o licitante para que seja obtido preço melhor.</w:t>
      </w:r>
    </w:p>
    <w:p>
      <w:pPr>
        <w:numPr>
          <w:ilvl w:val="2"/>
          <w:numId w:val="2"/>
        </w:numPr>
        <w:tabs>
          <w:tab w:val="left" w:pos="1440"/>
        </w:tabs>
        <w:autoSpaceDE w:val="0"/>
        <w:snapToGrid w:val="0"/>
        <w:spacing w:before="120" w:after="120"/>
        <w:ind w:left="0" w:firstLine="0"/>
        <w:jc w:val="both"/>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A negociação será realizada por meio do sistema, podendo ser acompanhada pelos demais licitantes.</w:t>
      </w:r>
    </w:p>
    <w:p>
      <w:pPr>
        <w:pStyle w:val="23"/>
        <w:numPr>
          <w:ilvl w:val="1"/>
          <w:numId w:val="2"/>
        </w:numPr>
        <w:spacing w:before="120" w:after="120" w:line="276" w:lineRule="auto"/>
        <w:ind w:left="0" w:firstLine="0"/>
        <w:jc w:val="both"/>
        <w:rPr>
          <w:rFonts w:hint="default" w:ascii="Times New Roman" w:hAnsi="Times New Roman" w:cs="Times New Roman"/>
          <w:sz w:val="20"/>
          <w:szCs w:val="20"/>
        </w:rPr>
      </w:pPr>
      <w:r>
        <w:rPr>
          <w:rFonts w:hint="default" w:ascii="Times New Roman" w:hAnsi="Times New Roman" w:cs="Times New Roman"/>
          <w:sz w:val="20"/>
          <w:szCs w:val="20"/>
        </w:rPr>
        <w:t>Nos itens não exclusivos para a participação de microempresas e empresas de pequeno porte, sempre que a proposta não for aceita, e antes de a pregoeira passar à subsequente, haverá nova verificação, pelo sistema, da eventual ocorrência do empate ficto, previsto nos artigos 44 e 45 da LC nº 123, de 2006, seguindo-se a disciplina antes estabelecida, se for o caso.</w:t>
      </w:r>
    </w:p>
    <w:p>
      <w:pPr>
        <w:pStyle w:val="23"/>
        <w:numPr>
          <w:ilvl w:val="2"/>
          <w:numId w:val="2"/>
        </w:numPr>
        <w:spacing w:before="120" w:after="120"/>
        <w:ind w:left="0" w:firstLine="0"/>
        <w:jc w:val="both"/>
        <w:rPr>
          <w:rFonts w:hint="default" w:ascii="Times New Roman" w:hAnsi="Times New Roman" w:cs="Times New Roman"/>
          <w:sz w:val="20"/>
          <w:szCs w:val="20"/>
        </w:rPr>
      </w:pPr>
      <w:r>
        <w:rPr>
          <w:rFonts w:hint="default" w:ascii="Times New Roman" w:hAnsi="Times New Roman" w:cs="Times New Roman"/>
          <w:color w:val="000000"/>
          <w:sz w:val="20"/>
          <w:szCs w:val="20"/>
        </w:rPr>
        <w:t xml:space="preserve">Encerrada a análise quanto à aceitação da proposta, a pregoeira verificará a habilitação do licitante, </w:t>
      </w:r>
      <w:r>
        <w:rPr>
          <w:rFonts w:hint="default" w:ascii="Times New Roman" w:hAnsi="Times New Roman" w:cs="Times New Roman"/>
          <w:color w:val="000000"/>
          <w:sz w:val="20"/>
          <w:szCs w:val="20"/>
          <w:lang w:eastAsia="en-US"/>
        </w:rPr>
        <w:t>observado</w:t>
      </w:r>
      <w:r>
        <w:rPr>
          <w:rFonts w:hint="default" w:ascii="Times New Roman" w:hAnsi="Times New Roman" w:cs="Times New Roman"/>
          <w:color w:val="000000"/>
          <w:sz w:val="20"/>
          <w:szCs w:val="20"/>
        </w:rPr>
        <w:t xml:space="preserve"> o disposto neste Edital.</w:t>
      </w:r>
    </w:p>
    <w:p>
      <w:pPr>
        <w:pStyle w:val="38"/>
        <w:numPr>
          <w:ilvl w:val="0"/>
          <w:numId w:val="2"/>
        </w:numPr>
        <w:spacing w:before="0"/>
        <w:ind w:left="0" w:firstLine="0"/>
        <w:rPr>
          <w:rFonts w:hint="default" w:ascii="Times New Roman" w:hAnsi="Times New Roman" w:cs="Times New Roman"/>
          <w:lang w:eastAsia="en-US"/>
        </w:rPr>
      </w:pPr>
      <w:r>
        <w:rPr>
          <w:rFonts w:hint="default" w:ascii="Times New Roman" w:hAnsi="Times New Roman" w:cs="Times New Roman"/>
          <w:lang w:eastAsia="en-US"/>
        </w:rPr>
        <w:t xml:space="preserve">DA HABILITAÇÃO </w:t>
      </w:r>
    </w:p>
    <w:p>
      <w:pPr>
        <w:pStyle w:val="23"/>
        <w:spacing w:before="120" w:after="120" w:line="276" w:lineRule="auto"/>
        <w:ind w:left="0"/>
        <w:jc w:val="both"/>
        <w:rPr>
          <w:rFonts w:hint="default" w:ascii="Times New Roman" w:hAnsi="Times New Roman" w:cs="Times New Roman"/>
          <w:bCs/>
          <w:color w:val="000000"/>
          <w:sz w:val="20"/>
          <w:szCs w:val="20"/>
          <w:highlight w:val="lightGray"/>
        </w:rPr>
      </w:pPr>
      <w:r>
        <w:rPr>
          <w:rFonts w:hint="default" w:ascii="Times New Roman" w:hAnsi="Times New Roman" w:cs="Times New Roman"/>
          <w:sz w:val="20"/>
          <w:szCs w:val="20"/>
          <w:lang w:eastAsia="ar-SA"/>
        </w:rPr>
        <w:t>8.1. Como condição prévia ao exame da documentação de habilitação do licitante detentor da proposta classificada em primeiro lugar, a pregoeira verificará o eventual descumprimento das condições de participação, especialmente quanto à existência de sanção</w:t>
      </w:r>
      <w:r>
        <w:rPr>
          <w:rFonts w:hint="default" w:ascii="Times New Roman" w:hAnsi="Times New Roman" w:cs="Times New Roman"/>
          <w:sz w:val="20"/>
          <w:szCs w:val="20"/>
          <w:lang w:val="pt-BR" w:eastAsia="ar-SA"/>
        </w:rPr>
        <w:t xml:space="preserve"> </w:t>
      </w:r>
      <w:r>
        <w:rPr>
          <w:rFonts w:hint="default" w:ascii="Times New Roman" w:hAnsi="Times New Roman" w:cs="Times New Roman"/>
          <w:sz w:val="20"/>
          <w:szCs w:val="20"/>
          <w:lang w:eastAsia="ar-SA"/>
        </w:rPr>
        <w:t>(vide ite</w:t>
      </w:r>
      <w:r>
        <w:rPr>
          <w:rFonts w:hint="default" w:ascii="Times New Roman" w:hAnsi="Times New Roman" w:cs="Times New Roman"/>
          <w:sz w:val="20"/>
          <w:szCs w:val="20"/>
          <w:lang w:val="pt-BR" w:eastAsia="ar-SA"/>
        </w:rPr>
        <w:t>m 3.3.1.</w:t>
      </w:r>
      <w:r>
        <w:rPr>
          <w:rFonts w:hint="default" w:ascii="Times New Roman" w:hAnsi="Times New Roman" w:cs="Times New Roman"/>
          <w:sz w:val="20"/>
          <w:szCs w:val="20"/>
          <w:lang w:eastAsia="ar-SA"/>
        </w:rPr>
        <w:t xml:space="preserve">) que impeça a participação no certame ou a futura contratação, mediante a consulta aos seguintes cadastros: </w:t>
      </w:r>
    </w:p>
    <w:p>
      <w:pPr>
        <w:pStyle w:val="23"/>
        <w:tabs>
          <w:tab w:val="left" w:pos="0"/>
        </w:tabs>
        <w:spacing w:after="120" w:line="276" w:lineRule="auto"/>
        <w:ind w:left="0"/>
        <w:jc w:val="both"/>
        <w:rPr>
          <w:rFonts w:hint="default" w:ascii="Times New Roman" w:hAnsi="Times New Roman" w:cs="Times New Roman"/>
          <w:sz w:val="20"/>
          <w:szCs w:val="20"/>
          <w:lang w:eastAsia="ar-SA"/>
        </w:rPr>
      </w:pPr>
      <w:r>
        <w:rPr>
          <w:rFonts w:hint="default" w:ascii="Times New Roman" w:hAnsi="Times New Roman" w:cs="Times New Roman"/>
          <w:sz w:val="20"/>
          <w:szCs w:val="20"/>
          <w:lang w:eastAsia="ar-SA"/>
        </w:rPr>
        <w:t>a) SICAF;</w:t>
      </w:r>
    </w:p>
    <w:p>
      <w:pPr>
        <w:pStyle w:val="23"/>
        <w:tabs>
          <w:tab w:val="left" w:pos="0"/>
        </w:tabs>
        <w:spacing w:after="120" w:line="276" w:lineRule="auto"/>
        <w:ind w:left="0"/>
        <w:jc w:val="both"/>
        <w:rPr>
          <w:rFonts w:hint="default" w:ascii="Times New Roman" w:hAnsi="Times New Roman" w:cs="Times New Roman"/>
          <w:sz w:val="20"/>
          <w:szCs w:val="20"/>
          <w:lang w:eastAsia="ar-SA"/>
        </w:rPr>
      </w:pPr>
      <w:r>
        <w:rPr>
          <w:rFonts w:hint="default" w:ascii="Times New Roman" w:hAnsi="Times New Roman" w:cs="Times New Roman"/>
          <w:sz w:val="20"/>
          <w:szCs w:val="20"/>
          <w:lang w:eastAsia="ar-SA"/>
        </w:rPr>
        <w:t>b) Cadastro Nacional de Empresas Inidôneas e Suspensas - CEIS, mantido pela Controladoria-Geral da União (</w:t>
      </w:r>
      <w:r>
        <w:rPr>
          <w:rFonts w:hint="default" w:ascii="Times New Roman" w:hAnsi="Times New Roman" w:cs="Times New Roman"/>
        </w:rPr>
        <w:fldChar w:fldCharType="begin"/>
      </w:r>
      <w:r>
        <w:rPr>
          <w:rFonts w:hint="default" w:ascii="Times New Roman" w:hAnsi="Times New Roman" w:cs="Times New Roman"/>
        </w:rPr>
        <w:instrText xml:space="preserve"> HYPERLINK "http://www.portaldatransparencia.gov.br/ceis" </w:instrText>
      </w:r>
      <w:r>
        <w:rPr>
          <w:rFonts w:hint="default" w:ascii="Times New Roman" w:hAnsi="Times New Roman" w:cs="Times New Roman"/>
        </w:rPr>
        <w:fldChar w:fldCharType="separate"/>
      </w:r>
      <w:r>
        <w:rPr>
          <w:rStyle w:val="11"/>
          <w:rFonts w:hint="default" w:ascii="Times New Roman" w:hAnsi="Times New Roman" w:cs="Times New Roman"/>
          <w:sz w:val="20"/>
          <w:szCs w:val="20"/>
          <w:lang w:eastAsia="ar-SA"/>
        </w:rPr>
        <w:t>www.portaldatransparencia.gov.br/ceis</w:t>
      </w:r>
      <w:r>
        <w:rPr>
          <w:rStyle w:val="11"/>
          <w:rFonts w:hint="default" w:ascii="Times New Roman" w:hAnsi="Times New Roman" w:cs="Times New Roman"/>
          <w:sz w:val="20"/>
          <w:szCs w:val="20"/>
          <w:lang w:eastAsia="ar-SA"/>
        </w:rPr>
        <w:fldChar w:fldCharType="end"/>
      </w:r>
      <w:r>
        <w:rPr>
          <w:rFonts w:hint="default" w:ascii="Times New Roman" w:hAnsi="Times New Roman" w:cs="Times New Roman"/>
          <w:sz w:val="20"/>
          <w:szCs w:val="20"/>
          <w:lang w:eastAsia="ar-SA"/>
        </w:rPr>
        <w:t>);</w:t>
      </w:r>
    </w:p>
    <w:p>
      <w:pPr>
        <w:pStyle w:val="23"/>
        <w:tabs>
          <w:tab w:val="left" w:pos="0"/>
        </w:tabs>
        <w:spacing w:after="120" w:line="276" w:lineRule="auto"/>
        <w:ind w:left="0"/>
        <w:jc w:val="both"/>
        <w:rPr>
          <w:rFonts w:hint="default" w:ascii="Times New Roman" w:hAnsi="Times New Roman" w:cs="Times New Roman"/>
          <w:sz w:val="20"/>
          <w:szCs w:val="20"/>
          <w:lang w:eastAsia="ar-SA"/>
        </w:rPr>
      </w:pPr>
      <w:r>
        <w:rPr>
          <w:rFonts w:hint="default" w:ascii="Times New Roman" w:hAnsi="Times New Roman" w:cs="Times New Roman"/>
          <w:sz w:val="20"/>
          <w:szCs w:val="20"/>
          <w:lang w:eastAsia="ar-SA"/>
        </w:rPr>
        <w:t>c) Cadastro Nacional de Condenações Cíveis por Atos de Improbidade Administrativa, mantido pelo Conselho Nacional de Justiça (</w:t>
      </w:r>
      <w:r>
        <w:rPr>
          <w:rFonts w:hint="default" w:ascii="Times New Roman" w:hAnsi="Times New Roman" w:cs="Times New Roman"/>
        </w:rPr>
        <w:fldChar w:fldCharType="begin"/>
      </w:r>
      <w:r>
        <w:rPr>
          <w:rFonts w:hint="default" w:ascii="Times New Roman" w:hAnsi="Times New Roman" w:cs="Times New Roman"/>
        </w:rPr>
        <w:instrText xml:space="preserve"> HYPERLINK "http://www.cnj.jus.br/improbidade_adm/consultar_requerido.php" </w:instrText>
      </w:r>
      <w:r>
        <w:rPr>
          <w:rFonts w:hint="default" w:ascii="Times New Roman" w:hAnsi="Times New Roman" w:cs="Times New Roman"/>
        </w:rPr>
        <w:fldChar w:fldCharType="separate"/>
      </w:r>
      <w:r>
        <w:rPr>
          <w:rStyle w:val="11"/>
          <w:rFonts w:hint="default" w:ascii="Times New Roman" w:hAnsi="Times New Roman" w:cs="Times New Roman"/>
          <w:sz w:val="20"/>
          <w:szCs w:val="20"/>
          <w:lang w:eastAsia="ar-SA"/>
        </w:rPr>
        <w:t>www.cnj.jus.br/improbidade_adm/consultar_requerido.php</w:t>
      </w:r>
      <w:r>
        <w:rPr>
          <w:rStyle w:val="11"/>
          <w:rFonts w:hint="default" w:ascii="Times New Roman" w:hAnsi="Times New Roman" w:cs="Times New Roman"/>
          <w:sz w:val="20"/>
          <w:szCs w:val="20"/>
          <w:lang w:eastAsia="ar-SA"/>
        </w:rPr>
        <w:fldChar w:fldCharType="end"/>
      </w:r>
      <w:r>
        <w:rPr>
          <w:rFonts w:hint="default" w:ascii="Times New Roman" w:hAnsi="Times New Roman" w:cs="Times New Roman"/>
          <w:sz w:val="20"/>
          <w:szCs w:val="20"/>
          <w:lang w:eastAsia="ar-SA"/>
        </w:rPr>
        <w:t xml:space="preserve">).  </w:t>
      </w:r>
    </w:p>
    <w:p>
      <w:pPr>
        <w:pStyle w:val="23"/>
        <w:tabs>
          <w:tab w:val="left" w:pos="0"/>
        </w:tabs>
        <w:spacing w:after="120" w:line="276" w:lineRule="auto"/>
        <w:ind w:left="0"/>
        <w:jc w:val="both"/>
        <w:rPr>
          <w:rFonts w:hint="default" w:ascii="Times New Roman" w:hAnsi="Times New Roman" w:cs="Times New Roman"/>
          <w:sz w:val="20"/>
          <w:szCs w:val="20"/>
          <w:lang w:eastAsia="ar-SA"/>
        </w:rPr>
      </w:pPr>
      <w:r>
        <w:rPr>
          <w:rFonts w:hint="default" w:ascii="Times New Roman" w:hAnsi="Times New Roman" w:cs="Times New Roman"/>
          <w:sz w:val="20"/>
          <w:szCs w:val="20"/>
          <w:lang w:eastAsia="ar-SA"/>
        </w:rPr>
        <w:t xml:space="preserve">d) Lista de Inidôneos e o Cadastro Integrado de Condenações por Ilícitos Administrativos - CADICON, mantidos pelo Tribunal de Contas da União - TCU; </w:t>
      </w:r>
    </w:p>
    <w:p>
      <w:pPr>
        <w:pStyle w:val="38"/>
        <w:numPr>
          <w:ilvl w:val="2"/>
          <w:numId w:val="2"/>
        </w:numPr>
        <w:tabs>
          <w:tab w:val="left" w:pos="0"/>
          <w:tab w:val="clear" w:pos="567"/>
        </w:tabs>
        <w:spacing w:before="0" w:line="276" w:lineRule="auto"/>
        <w:ind w:left="0" w:firstLine="0"/>
        <w:rPr>
          <w:rFonts w:hint="default" w:ascii="Times New Roman" w:hAnsi="Times New Roman" w:cs="Times New Roman"/>
          <w:b w:val="0"/>
        </w:rPr>
      </w:pPr>
      <w:r>
        <w:rPr>
          <w:rFonts w:hint="default" w:ascii="Times New Roman" w:hAnsi="Times New Roman" w:cs="Times New Roman"/>
          <w:b w:val="0"/>
          <w:bCs w:val="0"/>
          <w:lang w:eastAsia="ar-SA"/>
        </w:rPr>
        <w:t>Para a consulta de licitantes pessoa jurídica poderá haver a substituição das consultas</w:t>
      </w:r>
      <w:r>
        <w:rPr>
          <w:rFonts w:hint="default" w:ascii="Times New Roman" w:hAnsi="Times New Roman" w:cs="Times New Roman"/>
          <w:b w:val="0"/>
          <w:lang w:eastAsia="ar-SA"/>
        </w:rPr>
        <w:t xml:space="preserve"> das alíneas “b”, “c” e “d” acima pela Consulta Consolidada de Pessoa Jurídica do TCU (https://certidoesapf.apps.tcu.gov.br/)</w:t>
      </w:r>
    </w:p>
    <w:p>
      <w:pPr>
        <w:pStyle w:val="23"/>
        <w:numPr>
          <w:ilvl w:val="2"/>
          <w:numId w:val="2"/>
        </w:numPr>
        <w:spacing w:line="276" w:lineRule="auto"/>
        <w:ind w:left="0" w:firstLine="0"/>
        <w:jc w:val="both"/>
        <w:rPr>
          <w:rFonts w:hint="default" w:ascii="Times New Roman" w:hAnsi="Times New Roman" w:cs="Times New Roman"/>
          <w:bCs/>
          <w:color w:val="000000"/>
          <w:sz w:val="20"/>
          <w:szCs w:val="20"/>
        </w:rPr>
      </w:pPr>
      <w:r>
        <w:rPr>
          <w:rFonts w:hint="default" w:ascii="Times New Roman" w:hAnsi="Times New Roman" w:cs="Times New Roman"/>
          <w:bCs/>
          <w:color w:val="000000"/>
          <w:sz w:val="20"/>
          <w:szCs w:val="20"/>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23"/>
        <w:numPr>
          <w:ilvl w:val="3"/>
          <w:numId w:val="2"/>
        </w:numPr>
        <w:tabs>
          <w:tab w:val="left" w:pos="851"/>
        </w:tabs>
        <w:spacing w:line="276" w:lineRule="auto"/>
        <w:ind w:left="0" w:firstLine="0"/>
        <w:jc w:val="both"/>
        <w:rPr>
          <w:rFonts w:hint="default" w:ascii="Times New Roman" w:hAnsi="Times New Roman" w:cs="Times New Roman"/>
          <w:bCs/>
          <w:color w:val="000000"/>
          <w:sz w:val="20"/>
          <w:szCs w:val="20"/>
        </w:rPr>
      </w:pPr>
      <w:r>
        <w:rPr>
          <w:rFonts w:hint="default" w:ascii="Times New Roman" w:hAnsi="Times New Roman" w:cs="Times New Roman"/>
          <w:bCs/>
          <w:color w:val="000000"/>
          <w:sz w:val="20"/>
          <w:szCs w:val="20"/>
        </w:rPr>
        <w:t>Caso conste na Consulta de Situação do Fornecedor a existência de Ocorrências Impeditivas Indiretas, o gestor diligenciará para verificar se houve fraude por parte das empresas apontadas no Relatório de Ocorrências Impeditivas Indiretas. A tentativa de burla será verificada por meio dos vínculos societários, linhas de fornecimento similares, dentre outros.</w:t>
      </w:r>
    </w:p>
    <w:p>
      <w:pPr>
        <w:pStyle w:val="23"/>
        <w:numPr>
          <w:ilvl w:val="3"/>
          <w:numId w:val="2"/>
        </w:numPr>
        <w:spacing w:before="120" w:after="120" w:line="276" w:lineRule="auto"/>
        <w:ind w:left="0" w:firstLine="0"/>
        <w:jc w:val="both"/>
        <w:rPr>
          <w:rFonts w:hint="default" w:ascii="Times New Roman" w:hAnsi="Times New Roman" w:cs="Times New Roman"/>
          <w:bCs/>
          <w:color w:val="000000"/>
          <w:sz w:val="20"/>
          <w:szCs w:val="20"/>
        </w:rPr>
      </w:pPr>
      <w:r>
        <w:rPr>
          <w:rFonts w:hint="default" w:ascii="Times New Roman" w:hAnsi="Times New Roman" w:cs="Times New Roman"/>
          <w:bCs/>
          <w:color w:val="000000"/>
          <w:sz w:val="20"/>
          <w:szCs w:val="20"/>
        </w:rPr>
        <w:t>O licitante será convocado para manifestação previamente à sua desclassificação.</w:t>
      </w:r>
    </w:p>
    <w:p>
      <w:pPr>
        <w:pStyle w:val="23"/>
        <w:numPr>
          <w:ilvl w:val="2"/>
          <w:numId w:val="2"/>
        </w:numPr>
        <w:tabs>
          <w:tab w:val="left" w:pos="0"/>
          <w:tab w:val="left" w:pos="567"/>
        </w:tabs>
        <w:spacing w:line="276" w:lineRule="auto"/>
        <w:ind w:left="0" w:firstLine="0"/>
        <w:jc w:val="both"/>
        <w:rPr>
          <w:rFonts w:hint="default" w:ascii="Times New Roman" w:hAnsi="Times New Roman" w:cs="Times New Roman"/>
          <w:bCs/>
          <w:color w:val="000000"/>
          <w:sz w:val="20"/>
          <w:szCs w:val="20"/>
        </w:rPr>
      </w:pPr>
      <w:r>
        <w:rPr>
          <w:rFonts w:hint="default" w:ascii="Times New Roman" w:hAnsi="Times New Roman" w:cs="Times New Roman"/>
          <w:bCs/>
          <w:color w:val="000000"/>
          <w:sz w:val="20"/>
          <w:szCs w:val="20"/>
        </w:rPr>
        <w:t>Constatada a existência de sanção, a pregoeira reputará o licitante inabilitado, por falta de condição de participação.</w:t>
      </w:r>
    </w:p>
    <w:p>
      <w:pPr>
        <w:pStyle w:val="23"/>
        <w:numPr>
          <w:ilvl w:val="2"/>
          <w:numId w:val="2"/>
        </w:numPr>
        <w:tabs>
          <w:tab w:val="left" w:pos="0"/>
          <w:tab w:val="left" w:pos="567"/>
        </w:tabs>
        <w:spacing w:before="120" w:after="120" w:line="276" w:lineRule="auto"/>
        <w:ind w:left="0" w:firstLine="0"/>
        <w:jc w:val="both"/>
        <w:rPr>
          <w:rFonts w:hint="default" w:ascii="Times New Roman" w:hAnsi="Times New Roman" w:cs="Times New Roman"/>
          <w:bCs/>
          <w:color w:val="000000"/>
          <w:sz w:val="20"/>
          <w:szCs w:val="20"/>
        </w:rPr>
      </w:pPr>
      <w:r>
        <w:rPr>
          <w:rFonts w:hint="default" w:ascii="Times New Roman" w:hAnsi="Times New Roman" w:cs="Times New Roman"/>
          <w:bCs/>
          <w:color w:val="000000"/>
          <w:sz w:val="20"/>
          <w:szCs w:val="20"/>
        </w:rPr>
        <w:t>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63"/>
        <w:numPr>
          <w:ilvl w:val="1"/>
          <w:numId w:val="2"/>
        </w:numPr>
        <w:tabs>
          <w:tab w:val="left" w:pos="567"/>
        </w:tabs>
        <w:spacing w:before="120" w:after="120" w:line="276" w:lineRule="auto"/>
        <w:ind w:left="0" w:firstLine="0"/>
        <w:jc w:val="both"/>
        <w:rPr>
          <w:rFonts w:hint="default" w:ascii="Times New Roman" w:hAnsi="Times New Roman" w:cs="Times New Roman"/>
          <w:sz w:val="20"/>
          <w:szCs w:val="20"/>
          <w:lang w:eastAsia="ar-SA"/>
        </w:rPr>
      </w:pPr>
      <w:r>
        <w:rPr>
          <w:rFonts w:hint="default" w:ascii="Times New Roman" w:hAnsi="Times New Roman" w:cs="Times New Roman"/>
          <w:color w:val="000000"/>
          <w:sz w:val="20"/>
          <w:szCs w:val="20"/>
        </w:rPr>
        <w:t xml:space="preserve">Caso atendidas as condições de participação, </w:t>
      </w:r>
      <w:r>
        <w:rPr>
          <w:rFonts w:hint="default" w:ascii="Times New Roman" w:hAnsi="Times New Roman" w:cs="Times New Roman"/>
          <w:sz w:val="20"/>
          <w:szCs w:val="20"/>
        </w:rPr>
        <w:t>a habilitação do licitantes será realizada mediante apresentação dos documentos de habilitação de que tratam este edital, dispensada esta apresentação na hipótese de os documentos de habilitação já constarem do SICAF, conforme disposto no art. 26 do Decreto n° 26/2019 do CISMIV, nos documentos por ele abrangidos</w:t>
      </w:r>
      <w:r>
        <w:rPr>
          <w:rFonts w:hint="default" w:ascii="Times New Roman" w:hAnsi="Times New Roman" w:cs="Times New Roman"/>
          <w:sz w:val="20"/>
          <w:szCs w:val="20"/>
          <w:lang w:eastAsia="ar-SA"/>
        </w:rPr>
        <w:t xml:space="preserve"> em relação à habilitação jurídica, à regularidade fiscal e trabalhista, à qualificação econômica financeira e habilitação técnica, conforme o disposto na Instrução Normativa SEGES/MP nº 03, de 2018.</w:t>
      </w:r>
    </w:p>
    <w:p>
      <w:pPr>
        <w:pStyle w:val="23"/>
        <w:numPr>
          <w:ilvl w:val="2"/>
          <w:numId w:val="2"/>
        </w:numPr>
        <w:tabs>
          <w:tab w:val="left" w:pos="567"/>
        </w:tabs>
        <w:spacing w:before="120" w:after="120" w:line="276" w:lineRule="auto"/>
        <w:ind w:left="0" w:firstLine="0"/>
        <w:jc w:val="both"/>
        <w:rPr>
          <w:rFonts w:hint="default" w:ascii="Times New Roman" w:hAnsi="Times New Roman" w:cs="Times New Roman"/>
          <w:sz w:val="20"/>
          <w:szCs w:val="20"/>
          <w:lang w:eastAsia="ar-SA"/>
        </w:rPr>
      </w:pPr>
      <w:r>
        <w:rPr>
          <w:rFonts w:hint="default" w:ascii="Times New Roman" w:hAnsi="Times New Roman" w:cs="Times New Roman"/>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numPr>
          <w:ilvl w:val="2"/>
          <w:numId w:val="2"/>
        </w:numPr>
        <w:tabs>
          <w:tab w:val="left" w:pos="567"/>
        </w:tabs>
        <w:spacing w:before="120" w:after="120" w:line="276" w:lineRule="auto"/>
        <w:ind w:left="0" w:firstLine="0"/>
        <w:jc w:val="both"/>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pPr>
        <w:numPr>
          <w:ilvl w:val="2"/>
          <w:numId w:val="2"/>
        </w:numPr>
        <w:tabs>
          <w:tab w:val="left" w:pos="567"/>
        </w:tabs>
        <w:spacing w:before="120" w:after="120" w:line="276" w:lineRule="auto"/>
        <w:ind w:left="0" w:firstLine="0"/>
        <w:jc w:val="both"/>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O descumprimento do subitem acima implicará a inabilitação do licitante, exceto se a consulta aos sítios eletrônicos oficiais emissores de certidões feita pela pregoeira lograr êxito em encontrar a(s) certidão(ões) válida(s), conforme art. 43, §3º, do Decreto 26/2019 do CISMIV.</w:t>
      </w:r>
    </w:p>
    <w:p>
      <w:pPr>
        <w:pStyle w:val="44"/>
        <w:keepNext w:val="0"/>
        <w:widowControl/>
        <w:numPr>
          <w:ilvl w:val="1"/>
          <w:numId w:val="2"/>
        </w:numPr>
        <w:spacing w:before="120" w:after="120"/>
        <w:ind w:left="0" w:firstLine="0"/>
        <w:rPr>
          <w:rFonts w:hint="default" w:ascii="Times New Roman" w:hAnsi="Times New Roman" w:cs="Times New Roman"/>
          <w:szCs w:val="20"/>
        </w:rPr>
      </w:pPr>
      <w:r>
        <w:rPr>
          <w:rFonts w:hint="default" w:ascii="Times New Roman" w:hAnsi="Times New Roman" w:cs="Times New Roman"/>
          <w:color w:val="000000"/>
          <w:szCs w:val="20"/>
        </w:rPr>
        <w:t xml:space="preserve">Havendo a necessidade de envio de documentos de habilitação </w:t>
      </w:r>
      <w:r>
        <w:rPr>
          <w:rFonts w:hint="default" w:ascii="Times New Roman" w:hAnsi="Times New Roman" w:cs="Times New Roman"/>
          <w:b/>
          <w:i/>
          <w:color w:val="000000"/>
          <w:szCs w:val="20"/>
          <w:u w:val="single"/>
        </w:rPr>
        <w:t>complementares</w:t>
      </w:r>
      <w:r>
        <w:rPr>
          <w:rStyle w:val="10"/>
          <w:rFonts w:hint="default" w:ascii="Times New Roman" w:hAnsi="Times New Roman" w:cs="Times New Roman"/>
          <w:b/>
          <w:i/>
          <w:color w:val="000000"/>
          <w:szCs w:val="20"/>
          <w:u w:val="single"/>
        </w:rPr>
        <w:footnoteReference w:id="5"/>
      </w:r>
      <w:r>
        <w:rPr>
          <w:rFonts w:hint="default" w:ascii="Times New Roman" w:hAnsi="Times New Roman" w:cs="Times New Roman"/>
          <w:color w:val="000000"/>
          <w:szCs w:val="20"/>
        </w:rPr>
        <w:t>, necessários à confirmação daqueles exigidos neste Edital e já apresentados, o licitante será convocado a encaminhá-los, em formato digital, via sistema, no prazo de 02 (duas) horas, sob pena de inabilitação.</w:t>
      </w:r>
    </w:p>
    <w:p>
      <w:pPr>
        <w:numPr>
          <w:ilvl w:val="1"/>
          <w:numId w:val="2"/>
        </w:numPr>
        <w:spacing w:before="120" w:after="120" w:line="276" w:lineRule="auto"/>
        <w:ind w:left="0" w:firstLine="0"/>
        <w:jc w:val="both"/>
        <w:rPr>
          <w:rFonts w:hint="default" w:ascii="Times New Roman" w:hAnsi="Times New Roman" w:cs="Times New Roman"/>
          <w:sz w:val="20"/>
          <w:szCs w:val="20"/>
        </w:rPr>
      </w:pPr>
      <w:r>
        <w:rPr>
          <w:rFonts w:hint="default" w:ascii="Times New Roman" w:hAnsi="Times New Roman" w:cs="Times New Roman"/>
          <w:sz w:val="20"/>
          <w:szCs w:val="20"/>
        </w:rPr>
        <w:t>Somente haverá a necessidade de comprovação do preenchimento de requisitos mediante apresentação dos documentos originais não-digitais quando houver dúvida em relação à integridade do documento digital.</w:t>
      </w:r>
    </w:p>
    <w:p>
      <w:pPr>
        <w:pStyle w:val="23"/>
        <w:numPr>
          <w:ilvl w:val="1"/>
          <w:numId w:val="8"/>
        </w:numPr>
        <w:spacing w:before="120" w:after="120" w:line="276" w:lineRule="auto"/>
        <w:ind w:left="0" w:firstLine="0"/>
        <w:jc w:val="both"/>
        <w:rPr>
          <w:rFonts w:hint="default" w:ascii="Times New Roman" w:hAnsi="Times New Roman" w:cs="Times New Roman"/>
          <w:sz w:val="20"/>
          <w:szCs w:val="20"/>
        </w:rPr>
      </w:pPr>
      <w:r>
        <w:rPr>
          <w:rFonts w:hint="default" w:ascii="Times New Roman" w:hAnsi="Times New Roman" w:cs="Times New Roman"/>
          <w:sz w:val="20"/>
          <w:szCs w:val="20"/>
        </w:rPr>
        <w:t>Não serão aceitos documentos de habilitação com indicação de CNPJ/CPF diferentes, salvo aqueles legalmente permitidos.</w:t>
      </w:r>
    </w:p>
    <w:p>
      <w:pPr>
        <w:pStyle w:val="23"/>
        <w:numPr>
          <w:ilvl w:val="1"/>
          <w:numId w:val="8"/>
        </w:numPr>
        <w:spacing w:before="120" w:after="120" w:line="276" w:lineRule="auto"/>
        <w:ind w:left="0" w:firstLine="0"/>
        <w:jc w:val="both"/>
        <w:rPr>
          <w:rFonts w:hint="default" w:ascii="Times New Roman" w:hAnsi="Times New Roman" w:cs="Times New Roman"/>
          <w:sz w:val="20"/>
          <w:szCs w:val="20"/>
        </w:rPr>
      </w:pPr>
      <w:r>
        <w:rPr>
          <w:rFonts w:hint="default" w:ascii="Times New Roman" w:hAnsi="Times New Roman" w:cs="Times New Roman"/>
          <w:sz w:val="20"/>
          <w:szCs w:val="20"/>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pPr>
        <w:pStyle w:val="23"/>
        <w:numPr>
          <w:ilvl w:val="2"/>
          <w:numId w:val="8"/>
        </w:numPr>
        <w:spacing w:before="120" w:after="120" w:line="276" w:lineRule="auto"/>
        <w:ind w:left="0" w:firstLine="0"/>
        <w:jc w:val="both"/>
        <w:rPr>
          <w:rFonts w:hint="default" w:ascii="Times New Roman" w:hAnsi="Times New Roman" w:cs="Times New Roman"/>
          <w:sz w:val="20"/>
          <w:szCs w:val="20"/>
        </w:rPr>
      </w:pPr>
      <w:r>
        <w:rPr>
          <w:rFonts w:hint="default" w:ascii="Times New Roman" w:hAnsi="Times New Roman" w:cs="Times New Roman"/>
          <w:sz w:val="20"/>
          <w:szCs w:val="20"/>
        </w:rPr>
        <w:t>Serão aceitos registros de CNPJ de licitante matriz e filial com diferenças de números de documentos pertinentes ao CND e ao CRF/FGTS, quando for comprovada a centralização do recolhimento dessas contribuições.</w:t>
      </w:r>
    </w:p>
    <w:p>
      <w:pPr>
        <w:pStyle w:val="23"/>
        <w:numPr>
          <w:ilvl w:val="1"/>
          <w:numId w:val="8"/>
        </w:numPr>
        <w:spacing w:before="120" w:after="120" w:line="276" w:lineRule="auto"/>
        <w:ind w:left="0" w:firstLine="0"/>
        <w:jc w:val="both"/>
        <w:rPr>
          <w:rFonts w:hint="default" w:ascii="Times New Roman" w:hAnsi="Times New Roman" w:cs="Times New Roman"/>
          <w:sz w:val="20"/>
          <w:szCs w:val="20"/>
        </w:rPr>
      </w:pPr>
      <w:r>
        <w:rPr>
          <w:rFonts w:hint="default" w:ascii="Times New Roman" w:hAnsi="Times New Roman" w:cs="Times New Roman"/>
          <w:sz w:val="20"/>
          <w:szCs w:val="20"/>
        </w:rPr>
        <w:t xml:space="preserve">Ressalvado o disposto no item </w:t>
      </w:r>
      <w:r>
        <w:rPr>
          <w:rFonts w:hint="default" w:ascii="Times New Roman" w:hAnsi="Times New Roman" w:cs="Times New Roman"/>
          <w:sz w:val="20"/>
          <w:szCs w:val="20"/>
          <w:lang w:val="pt-BR"/>
        </w:rPr>
        <w:t>8</w:t>
      </w:r>
      <w:r>
        <w:rPr>
          <w:rFonts w:hint="default" w:ascii="Times New Roman" w:hAnsi="Times New Roman" w:cs="Times New Roman"/>
          <w:sz w:val="20"/>
          <w:szCs w:val="20"/>
        </w:rPr>
        <w:t>.3, os licitantes deverão encaminhar, nos termos deste Edital, a documentação relacionada nos itens a seguir, para fins de habilitação:</w:t>
      </w:r>
    </w:p>
    <w:p>
      <w:pPr>
        <w:pStyle w:val="23"/>
        <w:spacing w:before="120" w:after="120" w:line="276" w:lineRule="auto"/>
        <w:ind w:left="0"/>
        <w:jc w:val="both"/>
        <w:rPr>
          <w:rFonts w:hint="default" w:ascii="Times New Roman" w:hAnsi="Times New Roman" w:cs="Times New Roman"/>
          <w:sz w:val="20"/>
          <w:szCs w:val="20"/>
        </w:rPr>
      </w:pPr>
    </w:p>
    <w:p>
      <w:pPr>
        <w:pStyle w:val="23"/>
        <w:numPr>
          <w:ilvl w:val="1"/>
          <w:numId w:val="2"/>
        </w:numPr>
        <w:spacing w:before="120" w:after="120" w:line="276" w:lineRule="auto"/>
        <w:ind w:left="0" w:firstLine="0"/>
        <w:jc w:val="both"/>
        <w:rPr>
          <w:rFonts w:hint="default" w:ascii="Times New Roman" w:hAnsi="Times New Roman" w:cs="Times New Roman"/>
          <w:b/>
          <w:bCs/>
          <w:color w:val="000000"/>
          <w:sz w:val="20"/>
          <w:szCs w:val="20"/>
        </w:rPr>
      </w:pPr>
      <w:r>
        <w:rPr>
          <w:rFonts w:hint="default" w:ascii="Times New Roman" w:hAnsi="Times New Roman" w:cs="Times New Roman"/>
          <w:b/>
          <w:bCs/>
          <w:color w:val="000000"/>
          <w:sz w:val="20"/>
          <w:szCs w:val="20"/>
        </w:rPr>
        <w:t xml:space="preserve">Habilitação jurídica: </w:t>
      </w:r>
    </w:p>
    <w:p>
      <w:pPr>
        <w:pStyle w:val="23"/>
        <w:numPr>
          <w:ilvl w:val="2"/>
          <w:numId w:val="2"/>
        </w:numPr>
        <w:spacing w:before="120" w:after="120" w:line="276" w:lineRule="auto"/>
        <w:ind w:left="0" w:firstLine="0"/>
        <w:jc w:val="both"/>
        <w:rPr>
          <w:rFonts w:hint="default" w:ascii="Times New Roman" w:hAnsi="Times New Roman" w:cs="Times New Roman"/>
          <w:bCs/>
          <w:color w:val="000000"/>
          <w:sz w:val="20"/>
          <w:szCs w:val="20"/>
        </w:rPr>
      </w:pPr>
      <w:r>
        <w:rPr>
          <w:rFonts w:hint="default" w:ascii="Times New Roman" w:hAnsi="Times New Roman" w:cs="Times New Roman"/>
          <w:bCs/>
          <w:color w:val="000000"/>
          <w:sz w:val="20"/>
          <w:szCs w:val="20"/>
        </w:rPr>
        <w:t>No caso de empresário individual: inscrição no Registro Público de Empresas Mercantis, a cargo da Junta Comercial da respectiva sede;</w:t>
      </w:r>
    </w:p>
    <w:p>
      <w:pPr>
        <w:pStyle w:val="23"/>
        <w:numPr>
          <w:ilvl w:val="2"/>
          <w:numId w:val="2"/>
        </w:numPr>
        <w:spacing w:before="120" w:after="120" w:line="276" w:lineRule="auto"/>
        <w:ind w:left="0" w:firstLine="0"/>
        <w:jc w:val="both"/>
        <w:rPr>
          <w:rFonts w:hint="default" w:ascii="Times New Roman" w:hAnsi="Times New Roman" w:cs="Times New Roman"/>
          <w:bCs/>
          <w:color w:val="000000"/>
          <w:sz w:val="20"/>
          <w:szCs w:val="20"/>
        </w:rPr>
      </w:pPr>
      <w:r>
        <w:rPr>
          <w:rFonts w:hint="default" w:ascii="Times New Roman" w:hAnsi="Times New Roman" w:cs="Times New Roman"/>
          <w:bCs/>
          <w:color w:val="000000"/>
          <w:sz w:val="20"/>
          <w:szCs w:val="20"/>
        </w:rPr>
        <w:t>Em se tratando de microempreendedor individual – MEI: Certificado da Condição de Microempreendedor Individual - CCMEI, cuja aceitação ficará condicionada à verificação da autenticidade no sítio www.portaldoempreendedor.gov.br;</w:t>
      </w:r>
    </w:p>
    <w:p>
      <w:pPr>
        <w:pStyle w:val="23"/>
        <w:numPr>
          <w:ilvl w:val="2"/>
          <w:numId w:val="2"/>
        </w:numPr>
        <w:spacing w:before="120" w:after="120" w:line="276" w:lineRule="auto"/>
        <w:ind w:left="0" w:firstLine="0"/>
        <w:jc w:val="both"/>
        <w:rPr>
          <w:rFonts w:hint="default" w:ascii="Times New Roman" w:hAnsi="Times New Roman" w:cs="Times New Roman"/>
          <w:bCs/>
          <w:color w:val="000000"/>
          <w:sz w:val="20"/>
          <w:szCs w:val="20"/>
        </w:rPr>
      </w:pPr>
      <w:r>
        <w:rPr>
          <w:rFonts w:hint="default" w:ascii="Times New Roman" w:hAnsi="Times New Roman" w:cs="Times New Roman"/>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23"/>
        <w:numPr>
          <w:ilvl w:val="2"/>
          <w:numId w:val="2"/>
        </w:numPr>
        <w:spacing w:before="120" w:after="120" w:line="276" w:lineRule="auto"/>
        <w:ind w:left="0" w:firstLine="0"/>
        <w:jc w:val="both"/>
        <w:rPr>
          <w:rFonts w:hint="default" w:ascii="Times New Roman" w:hAnsi="Times New Roman" w:cs="Times New Roman"/>
          <w:bCs/>
          <w:color w:val="000000"/>
          <w:sz w:val="20"/>
          <w:szCs w:val="20"/>
        </w:rPr>
      </w:pPr>
      <w:r>
        <w:rPr>
          <w:rFonts w:hint="default" w:ascii="Times New Roman" w:hAnsi="Times New Roman" w:cs="Times New Roman"/>
          <w:bCs/>
          <w:color w:val="000000"/>
          <w:sz w:val="20"/>
          <w:szCs w:val="20"/>
        </w:rPr>
        <w:t>inscrição no Registro Público de Empresas Mercantis onde opera, com averbação no Registro onde tem sede a matriz, no caso de ser o participante sucursal, filial ou agência;</w:t>
      </w:r>
    </w:p>
    <w:p>
      <w:pPr>
        <w:pStyle w:val="23"/>
        <w:numPr>
          <w:ilvl w:val="2"/>
          <w:numId w:val="2"/>
        </w:numPr>
        <w:spacing w:before="120" w:after="120" w:line="276" w:lineRule="auto"/>
        <w:ind w:left="0" w:firstLine="0"/>
        <w:jc w:val="both"/>
        <w:rPr>
          <w:rFonts w:hint="default" w:ascii="Times New Roman" w:hAnsi="Times New Roman" w:cs="Times New Roman"/>
          <w:bCs/>
          <w:color w:val="000000"/>
          <w:sz w:val="20"/>
          <w:szCs w:val="20"/>
        </w:rPr>
      </w:pPr>
      <w:r>
        <w:rPr>
          <w:rFonts w:hint="default" w:ascii="Times New Roman" w:hAnsi="Times New Roman" w:cs="Times New Roman"/>
          <w:bCs/>
          <w:color w:val="000000"/>
          <w:sz w:val="20"/>
          <w:szCs w:val="20"/>
        </w:rPr>
        <w:t>No caso de sociedade simples: inscrição do ato constitutivo no Registro Civil das Pessoas Jurídicas do local de sua sede, acompanhada de prova da indicação dos seus administradores;</w:t>
      </w:r>
    </w:p>
    <w:p>
      <w:pPr>
        <w:pStyle w:val="23"/>
        <w:numPr>
          <w:ilvl w:val="2"/>
          <w:numId w:val="2"/>
        </w:numPr>
        <w:spacing w:before="120" w:after="120" w:line="276" w:lineRule="auto"/>
        <w:ind w:left="0" w:firstLine="0"/>
        <w:jc w:val="both"/>
        <w:rPr>
          <w:rFonts w:hint="default" w:ascii="Times New Roman" w:hAnsi="Times New Roman" w:cs="Times New Roman"/>
          <w:bCs/>
          <w:color w:val="000000"/>
          <w:sz w:val="20"/>
          <w:szCs w:val="20"/>
        </w:rPr>
      </w:pPr>
      <w:r>
        <w:rPr>
          <w:rFonts w:hint="default" w:ascii="Times New Roman" w:hAnsi="Times New Roman" w:cs="Times New Roman"/>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23"/>
        <w:numPr>
          <w:ilvl w:val="2"/>
          <w:numId w:val="2"/>
        </w:numPr>
        <w:tabs>
          <w:tab w:val="left" w:pos="1134"/>
        </w:tabs>
        <w:spacing w:before="120" w:after="120" w:line="276" w:lineRule="auto"/>
        <w:ind w:left="0" w:firstLine="0"/>
        <w:jc w:val="both"/>
        <w:rPr>
          <w:rFonts w:hint="default" w:ascii="Times New Roman" w:hAnsi="Times New Roman" w:cs="Times New Roman"/>
          <w:bCs/>
          <w:color w:val="000000"/>
          <w:sz w:val="20"/>
          <w:szCs w:val="20"/>
        </w:rPr>
      </w:pPr>
      <w:r>
        <w:rPr>
          <w:rFonts w:hint="default" w:ascii="Times New Roman" w:hAnsi="Times New Roman" w:cs="Times New Roman"/>
          <w:bCs/>
          <w:color w:val="000000"/>
          <w:sz w:val="20"/>
          <w:szCs w:val="20"/>
        </w:rPr>
        <w:t>No caso de empresa ou sociedade estrangeira em funcionamento no País: decreto de autorização;</w:t>
      </w:r>
    </w:p>
    <w:p>
      <w:pPr>
        <w:pStyle w:val="23"/>
        <w:numPr>
          <w:ilvl w:val="2"/>
          <w:numId w:val="2"/>
        </w:numPr>
        <w:tabs>
          <w:tab w:val="left" w:pos="1134"/>
        </w:tabs>
        <w:spacing w:before="120" w:after="120" w:line="276" w:lineRule="auto"/>
        <w:ind w:left="0" w:firstLine="0"/>
        <w:jc w:val="both"/>
        <w:rPr>
          <w:rFonts w:hint="default" w:ascii="Times New Roman" w:hAnsi="Times New Roman" w:cs="Times New Roman"/>
          <w:bCs/>
          <w:color w:val="000000"/>
          <w:sz w:val="20"/>
          <w:szCs w:val="20"/>
        </w:rPr>
      </w:pPr>
      <w:r>
        <w:rPr>
          <w:rFonts w:hint="default" w:ascii="Times New Roman" w:hAnsi="Times New Roman" w:cs="Times New Roman"/>
          <w:bCs/>
          <w:color w:val="000000"/>
          <w:sz w:val="20"/>
          <w:szCs w:val="20"/>
        </w:rPr>
        <w:t>Os documentos acima deverão estar acompanhados de todas as alterações ou da consolidação respectiva;</w:t>
      </w:r>
    </w:p>
    <w:p>
      <w:pPr>
        <w:pStyle w:val="23"/>
        <w:numPr>
          <w:ilvl w:val="1"/>
          <w:numId w:val="2"/>
        </w:numPr>
        <w:spacing w:before="120" w:after="120" w:line="276" w:lineRule="auto"/>
        <w:ind w:left="0" w:firstLine="0"/>
        <w:jc w:val="both"/>
        <w:rPr>
          <w:rFonts w:hint="default" w:ascii="Times New Roman" w:hAnsi="Times New Roman" w:cs="Times New Roman"/>
          <w:b/>
          <w:bCs/>
          <w:color w:val="000000"/>
          <w:sz w:val="20"/>
          <w:szCs w:val="20"/>
        </w:rPr>
      </w:pPr>
      <w:r>
        <w:rPr>
          <w:rFonts w:hint="default" w:ascii="Times New Roman" w:hAnsi="Times New Roman" w:cs="Times New Roman"/>
          <w:b/>
          <w:bCs/>
          <w:color w:val="000000"/>
          <w:sz w:val="20"/>
          <w:szCs w:val="20"/>
        </w:rPr>
        <w:t xml:space="preserve">Regularidade fiscal </w:t>
      </w:r>
      <w:r>
        <w:rPr>
          <w:rFonts w:hint="default" w:ascii="Times New Roman" w:hAnsi="Times New Roman" w:cs="Times New Roman"/>
          <w:b/>
          <w:bCs/>
          <w:sz w:val="20"/>
          <w:szCs w:val="20"/>
        </w:rPr>
        <w:t>e trabalhista:</w:t>
      </w:r>
    </w:p>
    <w:p>
      <w:pPr>
        <w:numPr>
          <w:ilvl w:val="2"/>
          <w:numId w:val="2"/>
        </w:numPr>
        <w:tabs>
          <w:tab w:val="left" w:pos="1440"/>
        </w:tabs>
        <w:autoSpaceDE w:val="0"/>
        <w:snapToGrid w:val="0"/>
        <w:spacing w:before="120" w:after="120" w:line="276" w:lineRule="auto"/>
        <w:ind w:left="0" w:firstLine="0"/>
        <w:jc w:val="both"/>
        <w:rPr>
          <w:rFonts w:hint="default" w:ascii="Times New Roman" w:hAnsi="Times New Roman" w:cs="Times New Roman"/>
          <w:sz w:val="20"/>
          <w:szCs w:val="20"/>
          <w:lang w:eastAsia="en-US"/>
        </w:rPr>
      </w:pPr>
      <w:r>
        <w:rPr>
          <w:rFonts w:hint="default" w:ascii="Times New Roman" w:hAnsi="Times New Roman" w:cs="Times New Roman"/>
          <w:sz w:val="20"/>
          <w:szCs w:val="20"/>
          <w:lang w:eastAsia="en-US"/>
        </w:rPr>
        <w:t>prova de inscrição no Cadastro Nacional de Pessoas Jurídicas;</w:t>
      </w:r>
    </w:p>
    <w:p>
      <w:pPr>
        <w:numPr>
          <w:ilvl w:val="2"/>
          <w:numId w:val="2"/>
        </w:numPr>
        <w:tabs>
          <w:tab w:val="left" w:pos="567"/>
          <w:tab w:val="left" w:pos="1440"/>
        </w:tabs>
        <w:autoSpaceDE w:val="0"/>
        <w:snapToGrid w:val="0"/>
        <w:spacing w:before="120" w:after="120" w:line="276" w:lineRule="auto"/>
        <w:ind w:left="0" w:firstLine="0"/>
        <w:jc w:val="both"/>
        <w:rPr>
          <w:rFonts w:hint="default" w:ascii="Times New Roman" w:hAnsi="Times New Roman" w:cs="Times New Roman"/>
          <w:sz w:val="20"/>
          <w:szCs w:val="20"/>
        </w:rPr>
      </w:pPr>
      <w:r>
        <w:rPr>
          <w:rFonts w:hint="default" w:ascii="Times New Roman" w:hAnsi="Times New Roman" w:cs="Times New Roman"/>
          <w:sz w:val="20"/>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pPr>
        <w:numPr>
          <w:ilvl w:val="2"/>
          <w:numId w:val="2"/>
        </w:numPr>
        <w:tabs>
          <w:tab w:val="left" w:pos="1440"/>
        </w:tabs>
        <w:autoSpaceDE w:val="0"/>
        <w:snapToGrid w:val="0"/>
        <w:spacing w:before="120" w:after="120" w:line="276" w:lineRule="auto"/>
        <w:ind w:left="0" w:firstLine="0"/>
        <w:jc w:val="both"/>
        <w:rPr>
          <w:rFonts w:hint="default" w:ascii="Times New Roman" w:hAnsi="Times New Roman" w:cs="Times New Roman"/>
          <w:color w:val="000000"/>
          <w:sz w:val="20"/>
          <w:szCs w:val="20"/>
        </w:rPr>
      </w:pPr>
      <w:r>
        <w:rPr>
          <w:rFonts w:hint="default" w:ascii="Times New Roman" w:hAnsi="Times New Roman" w:cs="Times New Roman"/>
          <w:color w:val="000000"/>
          <w:sz w:val="20"/>
          <w:szCs w:val="20"/>
          <w:lang w:eastAsia="en-US"/>
        </w:rPr>
        <w:t>prova de regularidade com o Fundo de Garantia do Tempo de Serviço (FGTS);</w:t>
      </w:r>
    </w:p>
    <w:p>
      <w:pPr>
        <w:numPr>
          <w:ilvl w:val="2"/>
          <w:numId w:val="2"/>
        </w:numPr>
        <w:tabs>
          <w:tab w:val="left" w:pos="1440"/>
        </w:tabs>
        <w:autoSpaceDE w:val="0"/>
        <w:snapToGrid w:val="0"/>
        <w:spacing w:before="120" w:after="120" w:line="276" w:lineRule="auto"/>
        <w:ind w:left="0" w:firstLine="0"/>
        <w:jc w:val="both"/>
        <w:rPr>
          <w:rFonts w:hint="default" w:ascii="Times New Roman" w:hAnsi="Times New Roman" w:cs="Times New Roman"/>
          <w:sz w:val="20"/>
          <w:szCs w:val="20"/>
        </w:rPr>
      </w:pPr>
      <w:r>
        <w:rPr>
          <w:rFonts w:hint="default" w:ascii="Times New Roman" w:hAnsi="Times New Roman" w:cs="Times New Roman"/>
          <w:sz w:val="20"/>
          <w:szCs w:val="20"/>
          <w:lang w:eastAsia="en-US"/>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numPr>
          <w:ilvl w:val="2"/>
          <w:numId w:val="2"/>
        </w:numPr>
        <w:tabs>
          <w:tab w:val="left" w:pos="1440"/>
        </w:tabs>
        <w:autoSpaceDE w:val="0"/>
        <w:snapToGrid w:val="0"/>
        <w:spacing w:before="120" w:after="120" w:line="276" w:lineRule="auto"/>
        <w:ind w:left="0" w:firstLine="0"/>
        <w:jc w:val="both"/>
        <w:rPr>
          <w:rFonts w:hint="default" w:ascii="Times New Roman" w:hAnsi="Times New Roman" w:cs="Times New Roman"/>
          <w:bCs/>
          <w:color w:val="000000"/>
          <w:sz w:val="20"/>
          <w:szCs w:val="20"/>
        </w:rPr>
      </w:pPr>
      <w:r>
        <w:rPr>
          <w:rFonts w:hint="default" w:ascii="Times New Roman" w:hAnsi="Times New Roman" w:cs="Times New Roman"/>
          <w:bCs/>
          <w:color w:val="000000"/>
          <w:sz w:val="20"/>
          <w:szCs w:val="20"/>
        </w:rPr>
        <w:t xml:space="preserve">prova de inscrição no cadastro de contribuintes estadual, relativo ao domicílio ou sede do licitante, pertinente ao seu ramo de atividade e compatível com o objeto contratual; </w:t>
      </w:r>
    </w:p>
    <w:p>
      <w:pPr>
        <w:numPr>
          <w:ilvl w:val="2"/>
          <w:numId w:val="2"/>
        </w:numPr>
        <w:tabs>
          <w:tab w:val="left" w:pos="1440"/>
        </w:tabs>
        <w:autoSpaceDE w:val="0"/>
        <w:snapToGrid w:val="0"/>
        <w:spacing w:before="120" w:after="120" w:line="276" w:lineRule="auto"/>
        <w:ind w:left="0" w:firstLine="0"/>
        <w:jc w:val="both"/>
        <w:rPr>
          <w:rFonts w:hint="default" w:ascii="Times New Roman" w:hAnsi="Times New Roman" w:cs="Times New Roman"/>
          <w:b/>
          <w:color w:val="7030A0"/>
          <w:szCs w:val="20"/>
          <w:u w:val="single"/>
        </w:rPr>
      </w:pPr>
      <w:r>
        <w:rPr>
          <w:rFonts w:hint="default" w:ascii="Times New Roman" w:hAnsi="Times New Roman" w:cs="Times New Roman"/>
          <w:sz w:val="20"/>
          <w:szCs w:val="20"/>
        </w:rPr>
        <w:t>prova de regularidade com a Fazenda Estadual do domicílio ou sede do licitante, relativa à atividade em cujo exercício contrata ou concorre;</w:t>
      </w:r>
    </w:p>
    <w:p>
      <w:pPr>
        <w:numPr>
          <w:ilvl w:val="2"/>
          <w:numId w:val="2"/>
        </w:numPr>
        <w:tabs>
          <w:tab w:val="left" w:pos="1440"/>
        </w:tabs>
        <w:autoSpaceDE w:val="0"/>
        <w:snapToGrid w:val="0"/>
        <w:spacing w:before="120" w:after="120" w:line="276" w:lineRule="auto"/>
        <w:ind w:left="0" w:firstLine="0"/>
        <w:jc w:val="both"/>
        <w:rPr>
          <w:rFonts w:hint="default" w:ascii="Times New Roman" w:hAnsi="Times New Roman" w:cs="Times New Roman"/>
          <w:b/>
          <w:color w:val="7030A0"/>
          <w:szCs w:val="20"/>
          <w:u w:val="single"/>
        </w:rPr>
      </w:pPr>
      <w:r>
        <w:rPr>
          <w:rFonts w:hint="default" w:ascii="Times New Roman" w:hAnsi="Times New Roman" w:cs="Times New Roman"/>
          <w:sz w:val="20"/>
          <w:szCs w:val="20"/>
        </w:rPr>
        <w:t>prova de regularidade com a Fazenda Municipal do domicílio ou sede do licitante, relativa à atividade em cujo exercício contrata ou concorre;</w:t>
      </w:r>
    </w:p>
    <w:p>
      <w:pPr>
        <w:numPr>
          <w:ilvl w:val="2"/>
          <w:numId w:val="2"/>
        </w:numPr>
        <w:tabs>
          <w:tab w:val="left" w:pos="1440"/>
        </w:tabs>
        <w:autoSpaceDE w:val="0"/>
        <w:snapToGrid w:val="0"/>
        <w:spacing w:before="120" w:after="120" w:line="276" w:lineRule="auto"/>
        <w:ind w:left="0" w:firstLine="0"/>
        <w:jc w:val="both"/>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 xml:space="preserve">caso o licitante seja considerado isento dos tributos estaduais relacionados ao objeto licitatório, deverá comprovar tal condição mediante declaração da Fazenda Estadual do seu domicílio ou sede, ou outra equivalente, na forma da lei; </w:t>
      </w:r>
    </w:p>
    <w:p>
      <w:pPr>
        <w:numPr>
          <w:ilvl w:val="2"/>
          <w:numId w:val="2"/>
        </w:numPr>
        <w:tabs>
          <w:tab w:val="left" w:pos="1440"/>
        </w:tabs>
        <w:autoSpaceDE w:val="0"/>
        <w:snapToGrid w:val="0"/>
        <w:spacing w:before="120" w:after="120" w:line="276" w:lineRule="auto"/>
        <w:ind w:left="0" w:firstLine="0"/>
        <w:jc w:val="both"/>
        <w:rPr>
          <w:rFonts w:hint="default" w:ascii="Times New Roman" w:hAnsi="Times New Roman" w:cs="Times New Roman"/>
          <w:b/>
          <w:bCs/>
          <w:iCs/>
          <w:color w:val="7030A0"/>
          <w:sz w:val="20"/>
          <w:szCs w:val="20"/>
          <w:u w:val="single"/>
        </w:rPr>
      </w:pPr>
      <w:r>
        <w:rPr>
          <w:rFonts w:hint="default" w:ascii="Times New Roman" w:hAnsi="Times New Roman" w:cs="Times New Roman"/>
          <w:color w:val="000000"/>
          <w:sz w:val="20"/>
          <w:szCs w:val="20"/>
          <w:lang w:eastAsia="en-US"/>
        </w:rPr>
        <w:t>caso o licitante detentor do menor preço seja qualificado como microempresa ou empresa de pequeno porte deverá apresentar toda a documentação exigida para efeito de comprovação de regularidade fiscal, mesmo que esta apresente alguma restrição, sob pena de inabilitação.</w:t>
      </w:r>
    </w:p>
    <w:p>
      <w:pPr>
        <w:pStyle w:val="67"/>
        <w:numPr>
          <w:ilvl w:val="1"/>
          <w:numId w:val="2"/>
        </w:numPr>
        <w:tabs>
          <w:tab w:val="left" w:pos="1440"/>
        </w:tabs>
        <w:autoSpaceDE w:val="0"/>
        <w:snapToGrid w:val="0"/>
        <w:spacing w:before="120" w:after="120" w:line="276" w:lineRule="auto"/>
        <w:jc w:val="both"/>
        <w:rPr>
          <w:rFonts w:hint="default" w:ascii="Times New Roman" w:hAnsi="Times New Roman" w:cs="Times New Roman"/>
          <w:b/>
          <w:bCs/>
          <w:iCs/>
          <w:color w:val="000000" w:themeColor="text1"/>
          <w:sz w:val="20"/>
          <w:szCs w:val="20"/>
          <w:u w:val="single"/>
        </w:rPr>
      </w:pPr>
      <w:r>
        <w:rPr>
          <w:rFonts w:hint="default" w:ascii="Times New Roman" w:hAnsi="Times New Roman" w:cs="Times New Roman"/>
          <w:b/>
          <w:bCs/>
          <w:iCs/>
          <w:color w:val="000000" w:themeColor="text1"/>
          <w:sz w:val="20"/>
          <w:szCs w:val="20"/>
          <w:u w:val="single"/>
        </w:rPr>
        <w:t>HABILITAÇÃO TÉCNICA</w:t>
      </w:r>
    </w:p>
    <w:p>
      <w:pPr>
        <w:pStyle w:val="23"/>
        <w:numPr>
          <w:ilvl w:val="1"/>
          <w:numId w:val="2"/>
        </w:numPr>
        <w:tabs>
          <w:tab w:val="left" w:pos="567"/>
        </w:tabs>
        <w:spacing w:before="120" w:after="120" w:line="276" w:lineRule="auto"/>
        <w:jc w:val="both"/>
        <w:rPr>
          <w:rFonts w:hint="default" w:ascii="Times New Roman" w:hAnsi="Times New Roman" w:cs="Times New Roman"/>
          <w:bCs/>
          <w:color w:val="000000"/>
          <w:sz w:val="20"/>
          <w:szCs w:val="20"/>
        </w:rPr>
      </w:pPr>
      <w:r>
        <w:rPr>
          <w:rFonts w:hint="default" w:ascii="Times New Roman" w:hAnsi="Times New Roman" w:cs="Times New Roman"/>
          <w:bCs/>
          <w:color w:val="000000"/>
          <w:sz w:val="20"/>
          <w:szCs w:val="20"/>
        </w:rPr>
        <w:t>Deverão ser exigidos os seguintes documentos na fase de habilitação das empresas:</w:t>
      </w:r>
    </w:p>
    <w:p>
      <w:pPr>
        <w:pStyle w:val="23"/>
        <w:numPr>
          <w:ilvl w:val="1"/>
          <w:numId w:val="2"/>
        </w:numPr>
        <w:tabs>
          <w:tab w:val="left" w:pos="567"/>
        </w:tabs>
        <w:spacing w:before="120" w:after="120" w:line="276" w:lineRule="auto"/>
        <w:jc w:val="both"/>
        <w:rPr>
          <w:rFonts w:hint="default" w:ascii="Times New Roman" w:hAnsi="Times New Roman" w:cs="Times New Roman"/>
          <w:bCs/>
          <w:color w:val="000000"/>
          <w:sz w:val="20"/>
          <w:szCs w:val="20"/>
        </w:rPr>
      </w:pPr>
      <w:r>
        <w:rPr>
          <w:rFonts w:hint="default" w:ascii="Times New Roman" w:hAnsi="Times New Roman"/>
          <w:bCs/>
          <w:color w:val="000000"/>
          <w:sz w:val="20"/>
          <w:szCs w:val="20"/>
          <w:lang w:val="pt-BR"/>
        </w:rPr>
        <w:t>A</w:t>
      </w:r>
      <w:r>
        <w:rPr>
          <w:rFonts w:hint="default" w:ascii="Times New Roman" w:hAnsi="Times New Roman"/>
          <w:bCs/>
          <w:color w:val="000000"/>
          <w:sz w:val="20"/>
          <w:szCs w:val="20"/>
        </w:rPr>
        <w:t xml:space="preserve">lvará Sanitário emitido pelo Órgão Municipal competente ou documento equivalente emitido por Órgão Federal ou Estadual que comprove sua atividade comercial ou quando dispensado no Município de origem da empresa licitante, deverá ser apresentada declaração, legislação municipal ou outro documento que comprove a dispensa do alvará sanitário. </w:t>
      </w:r>
    </w:p>
    <w:p>
      <w:pPr>
        <w:pStyle w:val="23"/>
        <w:numPr>
          <w:ilvl w:val="1"/>
          <w:numId w:val="2"/>
        </w:numPr>
        <w:tabs>
          <w:tab w:val="left" w:pos="567"/>
        </w:tabs>
        <w:spacing w:before="120" w:after="120" w:line="276" w:lineRule="auto"/>
        <w:jc w:val="both"/>
        <w:rPr>
          <w:rFonts w:hint="default" w:ascii="Times New Roman" w:hAnsi="Times New Roman" w:cs="Times New Roman"/>
          <w:bCs/>
          <w:color w:val="000000"/>
          <w:sz w:val="20"/>
          <w:szCs w:val="20"/>
        </w:rPr>
      </w:pPr>
      <w:r>
        <w:rPr>
          <w:rFonts w:hint="default" w:ascii="Times New Roman" w:hAnsi="Times New Roman"/>
          <w:bCs/>
          <w:color w:val="000000"/>
          <w:sz w:val="20"/>
          <w:szCs w:val="20"/>
        </w:rPr>
        <w:t xml:space="preserve">Cópia legível da licença ou autorização de funcionamento (comum e/ou especial) da empresa participante expedida pela Vigilância Sanitária/MS– será aceita publicação no Diário Oficial da União.  </w:t>
      </w:r>
    </w:p>
    <w:p>
      <w:pPr>
        <w:pStyle w:val="23"/>
        <w:numPr>
          <w:ilvl w:val="1"/>
          <w:numId w:val="2"/>
        </w:numPr>
        <w:tabs>
          <w:tab w:val="left" w:pos="567"/>
        </w:tabs>
        <w:spacing w:before="120" w:after="120" w:line="276" w:lineRule="auto"/>
        <w:jc w:val="both"/>
        <w:rPr>
          <w:rFonts w:hint="default" w:ascii="Times New Roman" w:hAnsi="Times New Roman" w:cs="Times New Roman"/>
          <w:bCs/>
          <w:color w:val="000000"/>
          <w:sz w:val="20"/>
          <w:szCs w:val="20"/>
        </w:rPr>
      </w:pPr>
      <w:r>
        <w:rPr>
          <w:rFonts w:hint="default" w:ascii="Times New Roman" w:hAnsi="Times New Roman"/>
          <w:bCs/>
          <w:color w:val="000000"/>
          <w:sz w:val="20"/>
          <w:szCs w:val="20"/>
        </w:rPr>
        <w:t xml:space="preserve">Certificado do Registro do item no Ministério da Saúde, fornecido através do seu órgão competente, conforme § 4º do Art. 14 do Decreto Federal nº 79.094/77 ou publicação no Diário da União. Em caso de registro vencido, o fornecedor deverá apresentar as Certidões de Registro vencidas e todos os pedidos de revalidação (Petição 1 e 2) com o carimbo do Protocolo do Ministério da Saúde perfeitamente legível, para averiguação do prazo previsto no§ 6º do art. 14 do Decreto Federal nº 79.094/77. Tratando-se de produtos dispensados de registro, que figurem em relações elaboradas pela ANVISA, CONFORME PREVISTO NA Lei 6.360/76 e Decreto nº 79.094/77, deverá ser apresentado o cadastramento ou a comprovação de dispensa. Os itens 12, 13, 17 e 18 são isentos de registro na ANVISA. </w:t>
      </w:r>
    </w:p>
    <w:p>
      <w:pPr>
        <w:pStyle w:val="23"/>
        <w:numPr>
          <w:ilvl w:val="1"/>
          <w:numId w:val="2"/>
        </w:numPr>
        <w:tabs>
          <w:tab w:val="left" w:pos="567"/>
        </w:tabs>
        <w:spacing w:before="120" w:after="120" w:line="276" w:lineRule="auto"/>
        <w:jc w:val="both"/>
        <w:rPr>
          <w:rFonts w:hint="default" w:ascii="Times New Roman" w:hAnsi="Times New Roman" w:cs="Times New Roman"/>
          <w:bCs/>
          <w:color w:val="000000"/>
          <w:sz w:val="20"/>
          <w:szCs w:val="20"/>
        </w:rPr>
      </w:pPr>
      <w:r>
        <w:rPr>
          <w:rFonts w:hint="default" w:ascii="Times New Roman" w:hAnsi="Times New Roman" w:cs="Times New Roman"/>
          <w:bCs/>
          <w:color w:val="000000"/>
          <w:sz w:val="20"/>
          <w:szCs w:val="20"/>
        </w:rPr>
        <w:t>Não foi exigida, para fins de qualificação técnica, a apresentação de Certificado de Boas Práticas de Fabricação e Controle - CBPF em atendimento a jurisprudência do TCU que é no sentido da ilegalidade em razão de: a) inexiste previsão específica em lei para tal exigência, afrontando o art. 30, inciso IV, da Lei 8.666/1993, cuja interpretação deve ser restritiva; b) o CBPF não garante o cumprimento das obrigações assumidas pelo particular perante o Poder Público; e c) constitui exigência excessiva, uma vez que o efetivo registro dos materiais e insumos pressupõe a adoção prévia, pelo fabricante, das boas práticas de fabricação.</w:t>
      </w:r>
    </w:p>
    <w:p>
      <w:pPr>
        <w:pStyle w:val="23"/>
        <w:numPr>
          <w:ilvl w:val="1"/>
          <w:numId w:val="2"/>
        </w:numPr>
        <w:tabs>
          <w:tab w:val="left" w:pos="567"/>
        </w:tabs>
        <w:spacing w:before="120" w:after="120" w:line="276" w:lineRule="auto"/>
        <w:jc w:val="both"/>
        <w:rPr>
          <w:rFonts w:hint="default" w:ascii="Times New Roman" w:hAnsi="Times New Roman" w:cs="Times New Roman"/>
          <w:bCs/>
          <w:color w:val="000000"/>
          <w:sz w:val="20"/>
          <w:szCs w:val="20"/>
        </w:rPr>
      </w:pPr>
      <w:r>
        <w:rPr>
          <w:rFonts w:hint="default" w:ascii="Times New Roman" w:hAnsi="Times New Roman" w:cs="Times New Roman"/>
          <w:bCs/>
          <w:color w:val="000000"/>
          <w:sz w:val="20"/>
          <w:szCs w:val="20"/>
        </w:rPr>
        <w:t>Para exigência da apresentação dos documentos de regularidade técnica das empresas vencedoras na fase de habilitação, foi considerado que para funcionamento e exercício das atividades de armazenamento, transporte e comercialização dos materiais e insumos, nenhuma empresa poderia estar regular tecnicamente perante os órgãos de controle e fiscalização sem a comprovação exigida. Desta forma, a exigência tem como garantir a aquisição de materiais e insumos.</w:t>
      </w:r>
    </w:p>
    <w:p>
      <w:pPr>
        <w:pStyle w:val="23"/>
        <w:numPr>
          <w:ilvl w:val="1"/>
          <w:numId w:val="2"/>
        </w:numPr>
        <w:tabs>
          <w:tab w:val="left" w:pos="567"/>
        </w:tabs>
        <w:spacing w:before="120" w:after="120" w:line="276" w:lineRule="auto"/>
        <w:ind w:left="0" w:firstLine="0"/>
        <w:jc w:val="both"/>
        <w:rPr>
          <w:rFonts w:hint="default" w:ascii="Times New Roman" w:hAnsi="Times New Roman" w:cs="Times New Roman"/>
          <w:bCs/>
          <w:color w:val="000000"/>
          <w:sz w:val="20"/>
          <w:szCs w:val="20"/>
        </w:rPr>
      </w:pPr>
      <w:r>
        <w:rPr>
          <w:rFonts w:hint="default" w:ascii="Times New Roman" w:hAnsi="Times New Roman" w:cs="Times New Roman"/>
          <w:bCs/>
          <w:color w:val="000000"/>
          <w:sz w:val="20"/>
          <w:szCs w:val="20"/>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pPr>
        <w:pStyle w:val="23"/>
        <w:numPr>
          <w:ilvl w:val="1"/>
          <w:numId w:val="2"/>
        </w:numPr>
        <w:tabs>
          <w:tab w:val="left" w:pos="0"/>
        </w:tabs>
        <w:spacing w:before="120" w:after="120" w:line="276" w:lineRule="auto"/>
        <w:ind w:left="0" w:firstLine="0"/>
        <w:jc w:val="both"/>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Havendo necessidade de analisar minuciosamente os documentos exigidos, a pregoeira suspenderá a sessão, informando no “chat” a nova data e horário para a continuidade da mesma.</w:t>
      </w:r>
    </w:p>
    <w:p>
      <w:pPr>
        <w:pStyle w:val="23"/>
        <w:numPr>
          <w:ilvl w:val="1"/>
          <w:numId w:val="2"/>
        </w:numPr>
        <w:tabs>
          <w:tab w:val="left" w:pos="0"/>
        </w:tabs>
        <w:spacing w:before="120" w:after="120" w:line="276" w:lineRule="auto"/>
        <w:ind w:left="0" w:firstLine="0"/>
        <w:jc w:val="both"/>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Será inabilitado o licitante que não comprovar sua habilitação, seja por não apresentar quaisquer dos documentos exigidos, ou apresentá-los em desacordo com o e</w:t>
      </w:r>
      <w:r>
        <w:rPr>
          <w:rFonts w:hint="default" w:ascii="Times New Roman" w:hAnsi="Times New Roman" w:cs="Times New Roman"/>
          <w:color w:val="000000"/>
          <w:sz w:val="20"/>
          <w:szCs w:val="20"/>
          <w:lang w:eastAsia="en-US"/>
        </w:rPr>
        <w:t>stabelecido neste Edital, ressalvado o disposto no item 9.2.3.</w:t>
      </w:r>
    </w:p>
    <w:p>
      <w:pPr>
        <w:pStyle w:val="23"/>
        <w:numPr>
          <w:ilvl w:val="1"/>
          <w:numId w:val="2"/>
        </w:numPr>
        <w:spacing w:before="120" w:after="120" w:line="276" w:lineRule="auto"/>
        <w:ind w:left="0" w:firstLine="0"/>
        <w:jc w:val="both"/>
        <w:rPr>
          <w:rFonts w:hint="default" w:ascii="Times New Roman" w:hAnsi="Times New Roman" w:cs="Times New Roman"/>
          <w:sz w:val="20"/>
          <w:szCs w:val="20"/>
        </w:rPr>
      </w:pPr>
      <w:r>
        <w:rPr>
          <w:rFonts w:hint="default" w:ascii="Times New Roman" w:hAnsi="Times New Roman" w:cs="Times New Roman"/>
          <w:sz w:val="20"/>
          <w:szCs w:val="20"/>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pPr>
        <w:numPr>
          <w:ilvl w:val="1"/>
          <w:numId w:val="2"/>
        </w:numPr>
        <w:spacing w:before="120" w:after="120" w:line="276" w:lineRule="auto"/>
        <w:ind w:left="0" w:firstLine="0"/>
        <w:jc w:val="both"/>
        <w:rPr>
          <w:rFonts w:hint="default" w:ascii="Times New Roman" w:hAnsi="Times New Roman" w:cs="Times New Roman"/>
          <w:sz w:val="20"/>
          <w:szCs w:val="20"/>
        </w:rPr>
      </w:pPr>
      <w:r>
        <w:rPr>
          <w:rFonts w:hint="default" w:ascii="Times New Roman" w:hAnsi="Times New Roman" w:cs="Times New Roman"/>
          <w:sz w:val="20"/>
          <w:szCs w:val="20"/>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pPr>
        <w:pStyle w:val="23"/>
        <w:numPr>
          <w:ilvl w:val="1"/>
          <w:numId w:val="2"/>
        </w:numPr>
        <w:spacing w:before="120" w:after="120" w:line="276" w:lineRule="auto"/>
        <w:ind w:left="0" w:firstLine="0"/>
        <w:jc w:val="both"/>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Constatado o atendimento às exigências de habilitação fixadas no Edital, o licitante será declarado vencedor.</w:t>
      </w:r>
    </w:p>
    <w:p>
      <w:pPr>
        <w:pStyle w:val="23"/>
        <w:numPr>
          <w:ilvl w:val="1"/>
          <w:numId w:val="2"/>
        </w:numPr>
        <w:spacing w:before="120" w:after="120" w:line="276" w:lineRule="auto"/>
        <w:ind w:left="0" w:firstLine="0"/>
        <w:jc w:val="both"/>
        <w:rPr>
          <w:rFonts w:hint="default" w:ascii="Times New Roman" w:hAnsi="Times New Roman" w:cs="Times New Roman"/>
          <w:b/>
          <w:color w:val="000000"/>
          <w:sz w:val="20"/>
          <w:szCs w:val="20"/>
          <w:u w:val="single"/>
        </w:rPr>
      </w:pPr>
      <w:bookmarkStart w:id="6" w:name="_Hlk51912750"/>
      <w:r>
        <w:rPr>
          <w:rFonts w:hint="default" w:ascii="Times New Roman" w:hAnsi="Times New Roman" w:cs="Times New Roman"/>
          <w:sz w:val="20"/>
          <w:szCs w:val="20"/>
        </w:rPr>
        <w:t xml:space="preserve">Na verificação das condições de habilitação, serão exigidos documentos com validade para a data da abertura do certame licitatório, independente do momento posterior em que a análise ocorrer, considerando que será solicitada documentação válida novamente na ocasião da assinatura da Ata de Registro de Preços caso a mesma não venha a ser assinada em até 10 (dez) dias úteis após a abertura da licitação. </w:t>
      </w:r>
    </w:p>
    <w:bookmarkEnd w:id="6"/>
    <w:p>
      <w:pPr>
        <w:pStyle w:val="38"/>
        <w:numPr>
          <w:ilvl w:val="0"/>
          <w:numId w:val="2"/>
        </w:numPr>
        <w:tabs>
          <w:tab w:val="left" w:pos="0"/>
          <w:tab w:val="clear" w:pos="567"/>
        </w:tabs>
        <w:ind w:left="0" w:firstLine="0"/>
        <w:rPr>
          <w:rFonts w:hint="default" w:ascii="Times New Roman" w:hAnsi="Times New Roman" w:cs="Times New Roman"/>
          <w:color w:val="auto"/>
          <w:lang w:eastAsia="en-US"/>
        </w:rPr>
      </w:pPr>
      <w:r>
        <w:rPr>
          <w:rFonts w:hint="default" w:ascii="Times New Roman" w:hAnsi="Times New Roman" w:cs="Times New Roman"/>
          <w:color w:val="auto"/>
          <w:lang w:eastAsia="en-US"/>
        </w:rPr>
        <w:t xml:space="preserve">DO </w:t>
      </w:r>
      <w:r>
        <w:rPr>
          <w:rFonts w:hint="default" w:ascii="Times New Roman" w:hAnsi="Times New Roman" w:cs="Times New Roman"/>
          <w:color w:val="auto"/>
        </w:rPr>
        <w:t>ENCAMINHAMENTO</w:t>
      </w:r>
      <w:r>
        <w:rPr>
          <w:rFonts w:hint="default" w:ascii="Times New Roman" w:hAnsi="Times New Roman" w:cs="Times New Roman"/>
          <w:color w:val="auto"/>
          <w:lang w:eastAsia="en-US"/>
        </w:rPr>
        <w:t xml:space="preserve"> DA PROPOSTA VENCEDORA</w:t>
      </w:r>
    </w:p>
    <w:p>
      <w:pPr>
        <w:pStyle w:val="23"/>
        <w:numPr>
          <w:ilvl w:val="1"/>
          <w:numId w:val="2"/>
        </w:numPr>
        <w:tabs>
          <w:tab w:val="left" w:pos="0"/>
        </w:tabs>
        <w:spacing w:before="120" w:after="120" w:line="276" w:lineRule="auto"/>
        <w:ind w:left="0" w:firstLine="0"/>
        <w:jc w:val="both"/>
        <w:rPr>
          <w:rFonts w:hint="default" w:ascii="Times New Roman" w:hAnsi="Times New Roman" w:cs="Times New Roman"/>
          <w:sz w:val="20"/>
          <w:szCs w:val="20"/>
        </w:rPr>
      </w:pPr>
      <w:r>
        <w:rPr>
          <w:rFonts w:hint="default" w:ascii="Times New Roman" w:hAnsi="Times New Roman" w:cs="Times New Roman"/>
          <w:sz w:val="20"/>
          <w:szCs w:val="20"/>
        </w:rPr>
        <w:t>A proposta final do licitante declarado vencedor deverá ser encaminhada no prazo de 02 (duas) horas</w:t>
      </w:r>
      <w:r>
        <w:rPr>
          <w:rFonts w:hint="default" w:ascii="Times New Roman" w:hAnsi="Times New Roman" w:cs="Times New Roman"/>
          <w:b/>
          <w:sz w:val="20"/>
          <w:szCs w:val="20"/>
        </w:rPr>
        <w:t>,</w:t>
      </w:r>
      <w:r>
        <w:rPr>
          <w:rFonts w:hint="default" w:ascii="Times New Roman" w:hAnsi="Times New Roman" w:cs="Times New Roman"/>
          <w:sz w:val="20"/>
          <w:szCs w:val="20"/>
        </w:rPr>
        <w:t xml:space="preserve"> a contar da solicitação da pregoeira no sistema eletrônico e deverá:</w:t>
      </w:r>
    </w:p>
    <w:p>
      <w:pPr>
        <w:numPr>
          <w:ilvl w:val="2"/>
          <w:numId w:val="2"/>
        </w:numPr>
        <w:tabs>
          <w:tab w:val="left" w:pos="0"/>
        </w:tabs>
        <w:spacing w:before="120" w:after="120" w:line="276" w:lineRule="auto"/>
        <w:ind w:left="0" w:firstLine="0"/>
        <w:jc w:val="both"/>
        <w:rPr>
          <w:rFonts w:hint="default" w:ascii="Times New Roman" w:hAnsi="Times New Roman" w:cs="Times New Roman"/>
          <w:sz w:val="20"/>
          <w:szCs w:val="20"/>
        </w:rPr>
      </w:pPr>
      <w:r>
        <w:rPr>
          <w:rFonts w:hint="default" w:ascii="Times New Roman" w:hAnsi="Times New Roman" w:cs="Times New Roman"/>
          <w:sz w:val="20"/>
          <w:szCs w:val="20"/>
        </w:rPr>
        <w:t>ser redigida em língua portuguesa, datilografada ou digitada, em uma via, sem emendas, rasuras, entrelinhas ou ressalvas, devendo a última folha ser assinada e as demais rubricadas pelo licitante ou seu representante legal.</w:t>
      </w:r>
    </w:p>
    <w:p>
      <w:pPr>
        <w:numPr>
          <w:ilvl w:val="2"/>
          <w:numId w:val="2"/>
        </w:numPr>
        <w:tabs>
          <w:tab w:val="left" w:pos="0"/>
        </w:tabs>
        <w:spacing w:before="120" w:after="120" w:line="276" w:lineRule="auto"/>
        <w:ind w:left="0" w:firstLine="0"/>
        <w:jc w:val="both"/>
        <w:rPr>
          <w:rFonts w:hint="default" w:ascii="Times New Roman" w:hAnsi="Times New Roman" w:cs="Times New Roman"/>
          <w:sz w:val="20"/>
          <w:szCs w:val="20"/>
        </w:rPr>
      </w:pPr>
      <w:r>
        <w:rPr>
          <w:rFonts w:hint="default" w:ascii="Times New Roman" w:hAnsi="Times New Roman" w:cs="Times New Roman"/>
          <w:sz w:val="20"/>
          <w:szCs w:val="20"/>
        </w:rPr>
        <w:t>conter a indicação do banco, número da conta e agência do licitante vencedor, para fins de pagamento.</w:t>
      </w:r>
    </w:p>
    <w:p>
      <w:pPr>
        <w:pStyle w:val="23"/>
        <w:numPr>
          <w:ilvl w:val="1"/>
          <w:numId w:val="2"/>
        </w:numPr>
        <w:spacing w:before="120" w:after="120" w:line="276" w:lineRule="auto"/>
        <w:ind w:left="0" w:firstLine="0"/>
        <w:jc w:val="both"/>
        <w:rPr>
          <w:rFonts w:hint="default" w:ascii="Times New Roman" w:hAnsi="Times New Roman" w:cs="Times New Roman"/>
          <w:sz w:val="20"/>
          <w:szCs w:val="20"/>
        </w:rPr>
      </w:pPr>
      <w:r>
        <w:rPr>
          <w:rFonts w:hint="default" w:ascii="Times New Roman" w:hAnsi="Times New Roman" w:cs="Times New Roman"/>
          <w:sz w:val="20"/>
          <w:szCs w:val="20"/>
        </w:rPr>
        <w:t>A proposta final deverá ser documentada nos autos e será levada em consideração no decorrer da execução do contrato e aplicação de eventual sanção à Contratada, se for o caso.</w:t>
      </w:r>
    </w:p>
    <w:p>
      <w:pPr>
        <w:numPr>
          <w:ilvl w:val="2"/>
          <w:numId w:val="2"/>
        </w:numPr>
        <w:spacing w:before="120" w:after="120" w:line="276" w:lineRule="auto"/>
        <w:ind w:left="0" w:firstLine="0"/>
        <w:jc w:val="both"/>
        <w:rPr>
          <w:rFonts w:hint="default" w:ascii="Times New Roman" w:hAnsi="Times New Roman" w:cs="Times New Roman"/>
          <w:sz w:val="20"/>
          <w:szCs w:val="20"/>
        </w:rPr>
      </w:pPr>
      <w:r>
        <w:rPr>
          <w:rFonts w:hint="default" w:ascii="Times New Roman" w:hAnsi="Times New Roman" w:cs="Times New Roman"/>
          <w:sz w:val="20"/>
          <w:szCs w:val="20"/>
        </w:rPr>
        <w:t>Todas as especificações do objeto contidas na proposta, tais como marca, modelo, tipo, fabricante e procedência, vinculam a Contratada.</w:t>
      </w:r>
    </w:p>
    <w:p>
      <w:pPr>
        <w:pStyle w:val="23"/>
        <w:numPr>
          <w:ilvl w:val="1"/>
          <w:numId w:val="2"/>
        </w:numPr>
        <w:spacing w:before="120" w:after="120" w:line="276" w:lineRule="auto"/>
        <w:ind w:left="0" w:firstLine="0"/>
        <w:jc w:val="both"/>
        <w:rPr>
          <w:rFonts w:hint="default" w:ascii="Times New Roman" w:hAnsi="Times New Roman" w:cs="Times New Roman"/>
          <w:sz w:val="20"/>
          <w:szCs w:val="20"/>
        </w:rPr>
      </w:pPr>
      <w:r>
        <w:rPr>
          <w:rFonts w:hint="default" w:ascii="Times New Roman" w:hAnsi="Times New Roman" w:cs="Times New Roman"/>
          <w:sz w:val="20"/>
          <w:szCs w:val="20"/>
        </w:rPr>
        <w:t>Os preços deverão ser expressos em moeda corrente nacional, o valor unitário em algarismos e o valor global em algarismos e por extenso (art. 5º da Lei nº 8.666/93).</w:t>
      </w:r>
    </w:p>
    <w:p>
      <w:pPr>
        <w:numPr>
          <w:ilvl w:val="2"/>
          <w:numId w:val="2"/>
        </w:numPr>
        <w:spacing w:before="120" w:after="120" w:line="276" w:lineRule="auto"/>
        <w:ind w:left="0" w:firstLine="0"/>
        <w:jc w:val="both"/>
        <w:rPr>
          <w:rFonts w:hint="default" w:ascii="Times New Roman" w:hAnsi="Times New Roman" w:cs="Times New Roman"/>
          <w:sz w:val="20"/>
          <w:szCs w:val="20"/>
        </w:rPr>
      </w:pPr>
      <w:r>
        <w:rPr>
          <w:rFonts w:hint="default" w:ascii="Times New Roman" w:hAnsi="Times New Roman" w:cs="Times New Roman"/>
          <w:sz w:val="20"/>
          <w:szCs w:val="20"/>
        </w:rPr>
        <w:t>Ocorrendo divergência entre os preços unitários e o preço global, prevalecerão os primeiros; no caso de divergência entre os valores numéricos e os valores expressos por extenso, prevalecerão estes últimos.</w:t>
      </w:r>
    </w:p>
    <w:p>
      <w:pPr>
        <w:pStyle w:val="23"/>
        <w:numPr>
          <w:ilvl w:val="1"/>
          <w:numId w:val="2"/>
        </w:numPr>
        <w:spacing w:before="120" w:after="120" w:line="276" w:lineRule="auto"/>
        <w:ind w:left="0" w:firstLine="0"/>
        <w:jc w:val="both"/>
        <w:rPr>
          <w:rFonts w:hint="default" w:ascii="Times New Roman" w:hAnsi="Times New Roman" w:cs="Times New Roman"/>
          <w:sz w:val="20"/>
          <w:szCs w:val="20"/>
        </w:rPr>
      </w:pPr>
      <w:r>
        <w:rPr>
          <w:rFonts w:hint="default" w:ascii="Times New Roman" w:hAnsi="Times New Roman" w:cs="Times New Roman"/>
          <w:sz w:val="20"/>
          <w:szCs w:val="20"/>
        </w:rPr>
        <w:t>A oferta deverá ser firme e precisa, limitada, rigorosamente, ao objeto deste Edital, sem conter alternativas de preço ou de qualquer outra condição que induza o julgamento a mais de um resultado, sob pena de desclassificação.</w:t>
      </w:r>
    </w:p>
    <w:p>
      <w:pPr>
        <w:pStyle w:val="23"/>
        <w:numPr>
          <w:ilvl w:val="1"/>
          <w:numId w:val="2"/>
        </w:numPr>
        <w:spacing w:before="120" w:after="120" w:line="276" w:lineRule="auto"/>
        <w:ind w:left="0" w:firstLine="0"/>
        <w:jc w:val="both"/>
        <w:rPr>
          <w:rFonts w:hint="default" w:ascii="Times New Roman" w:hAnsi="Times New Roman" w:cs="Times New Roman"/>
          <w:sz w:val="20"/>
          <w:szCs w:val="20"/>
        </w:rPr>
      </w:pPr>
      <w:r>
        <w:rPr>
          <w:rFonts w:hint="default" w:ascii="Times New Roman" w:hAnsi="Times New Roman" w:cs="Times New Roman"/>
          <w:sz w:val="20"/>
          <w:szCs w:val="20"/>
        </w:rPr>
        <w:t>A proposta deverá obedecer aos termos deste Edital e seus Anexos, não sendo considerada aquela que não corresponda às especificações ali contidas ou que estabeleça vínculo à proposta de outro licitante.</w:t>
      </w:r>
    </w:p>
    <w:p>
      <w:pPr>
        <w:pStyle w:val="23"/>
        <w:numPr>
          <w:ilvl w:val="1"/>
          <w:numId w:val="2"/>
        </w:numPr>
        <w:spacing w:line="276" w:lineRule="auto"/>
        <w:ind w:left="0" w:firstLine="0"/>
        <w:jc w:val="both"/>
        <w:rPr>
          <w:rFonts w:hint="default" w:ascii="Times New Roman" w:hAnsi="Times New Roman" w:cs="Times New Roman"/>
          <w:sz w:val="20"/>
          <w:szCs w:val="20"/>
        </w:rPr>
      </w:pPr>
      <w:r>
        <w:rPr>
          <w:rFonts w:hint="default" w:ascii="Times New Roman" w:hAnsi="Times New Roman" w:cs="Times New Roman"/>
          <w:sz w:val="20"/>
          <w:szCs w:val="20"/>
        </w:rPr>
        <w:t>As propostas que contenham a descrição do objeto, o valor e os documentos complementares estarão disponíveis na internet, após a homologação.</w:t>
      </w:r>
    </w:p>
    <w:p>
      <w:pPr>
        <w:pStyle w:val="23"/>
        <w:numPr>
          <w:ilvl w:val="1"/>
          <w:numId w:val="2"/>
        </w:numPr>
        <w:spacing w:line="276" w:lineRule="auto"/>
        <w:ind w:left="0" w:firstLine="0"/>
        <w:jc w:val="both"/>
        <w:rPr>
          <w:rFonts w:hint="default" w:ascii="Times New Roman" w:hAnsi="Times New Roman" w:cs="Times New Roman"/>
          <w:sz w:val="20"/>
          <w:szCs w:val="20"/>
        </w:rPr>
      </w:pPr>
      <w:r>
        <w:rPr>
          <w:rFonts w:hint="default" w:ascii="Times New Roman" w:hAnsi="Times New Roman" w:cs="Times New Roman"/>
          <w:sz w:val="20"/>
          <w:szCs w:val="20"/>
        </w:rPr>
        <w:t>O modelo de Proposta Final também é o constante no Anexo 1B.</w:t>
      </w:r>
    </w:p>
    <w:p>
      <w:pPr>
        <w:pStyle w:val="23"/>
        <w:numPr>
          <w:ilvl w:val="1"/>
          <w:numId w:val="2"/>
        </w:numPr>
        <w:spacing w:line="276" w:lineRule="auto"/>
        <w:ind w:left="0" w:firstLine="0"/>
        <w:jc w:val="both"/>
        <w:rPr>
          <w:rFonts w:hint="default" w:ascii="Times New Roman" w:hAnsi="Times New Roman" w:cs="Times New Roman"/>
          <w:sz w:val="20"/>
          <w:szCs w:val="20"/>
        </w:rPr>
      </w:pPr>
      <w:r>
        <w:rPr>
          <w:rFonts w:hint="default" w:ascii="Times New Roman" w:hAnsi="Times New Roman" w:cs="Times New Roman"/>
          <w:sz w:val="20"/>
          <w:szCs w:val="20"/>
        </w:rPr>
        <w:t>Após a fase de julgamento das propostas, a pregoeira poderá solicitar a Proposta Final na fase em que julgar mais conveniente, ainda que antes de verificar as condições de habilitação, devendo solicitar anteriormente à adjudicação por meio de funcionalidade do sistema, podendo solicitar a proposta individual anexada em cada item vencido, ou uma única Proposta Final com todos os itens vencidos anexados em item determinado pela pregoeira.</w:t>
      </w:r>
    </w:p>
    <w:p>
      <w:pPr>
        <w:pStyle w:val="23"/>
        <w:spacing w:line="276" w:lineRule="auto"/>
        <w:ind w:left="0"/>
        <w:jc w:val="both"/>
        <w:rPr>
          <w:rFonts w:hint="default" w:ascii="Times New Roman" w:hAnsi="Times New Roman" w:cs="Times New Roman"/>
          <w:sz w:val="20"/>
          <w:szCs w:val="20"/>
        </w:rPr>
      </w:pPr>
    </w:p>
    <w:p>
      <w:pPr>
        <w:pStyle w:val="38"/>
        <w:numPr>
          <w:ilvl w:val="0"/>
          <w:numId w:val="2"/>
        </w:numPr>
        <w:spacing w:before="0"/>
        <w:ind w:left="0" w:firstLine="0"/>
        <w:rPr>
          <w:rFonts w:hint="default" w:ascii="Times New Roman" w:hAnsi="Times New Roman" w:cs="Times New Roman"/>
          <w:lang w:eastAsia="en-US"/>
        </w:rPr>
      </w:pPr>
      <w:r>
        <w:rPr>
          <w:rFonts w:hint="default" w:ascii="Times New Roman" w:hAnsi="Times New Roman" w:cs="Times New Roman"/>
          <w:lang w:eastAsia="en-US"/>
        </w:rPr>
        <w:t>DOS RECURSOS</w:t>
      </w:r>
    </w:p>
    <w:p>
      <w:pPr>
        <w:rPr>
          <w:rFonts w:hint="default" w:ascii="Times New Roman" w:hAnsi="Times New Roman" w:cs="Times New Roman"/>
          <w:lang w:eastAsia="en-US"/>
        </w:rPr>
      </w:pPr>
    </w:p>
    <w:p>
      <w:pPr>
        <w:pStyle w:val="23"/>
        <w:numPr>
          <w:ilvl w:val="1"/>
          <w:numId w:val="2"/>
        </w:numPr>
        <w:spacing w:line="276" w:lineRule="auto"/>
        <w:ind w:left="0" w:firstLine="0"/>
        <w:jc w:val="both"/>
        <w:rPr>
          <w:rFonts w:hint="default" w:ascii="Times New Roman" w:hAnsi="Times New Roman" w:cs="Times New Roman"/>
          <w:color w:val="000000"/>
          <w:sz w:val="20"/>
          <w:szCs w:val="20"/>
        </w:rPr>
      </w:pPr>
      <w:r>
        <w:rPr>
          <w:rFonts w:hint="default" w:ascii="Times New Roman" w:hAnsi="Times New Roman" w:cs="Times New Roman"/>
          <w:color w:val="000000"/>
          <w:sz w:val="20"/>
          <w:szCs w:val="20"/>
          <w:lang w:eastAsia="en-US"/>
        </w:rPr>
        <w:t>Declarado o vencedor e decorr</w:t>
      </w:r>
      <w:r>
        <w:rPr>
          <w:rFonts w:hint="default" w:ascii="Times New Roman" w:hAnsi="Times New Roman" w:cs="Times New Roman"/>
          <w:color w:val="000000"/>
          <w:sz w:val="20"/>
          <w:szCs w:val="20"/>
        </w:rPr>
        <w:t xml:space="preserve">ida a </w:t>
      </w:r>
      <w:r>
        <w:rPr>
          <w:rFonts w:hint="default" w:ascii="Times New Roman" w:hAnsi="Times New Roman" w:cs="Times New Roman"/>
          <w:color w:val="000000"/>
          <w:sz w:val="20"/>
          <w:szCs w:val="20"/>
          <w:lang w:eastAsia="en-US"/>
        </w:rPr>
        <w:t xml:space="preserve">fase de regularização fiscal e trabalhista da licitante qualificada como microempresa ou empresa de pequeno porte, se for o caso, será concedido o </w:t>
      </w:r>
      <w:r>
        <w:rPr>
          <w:rFonts w:hint="default" w:ascii="Times New Roman" w:hAnsi="Times New Roman" w:cs="Times New Roman"/>
          <w:color w:val="000000"/>
          <w:sz w:val="20"/>
          <w:szCs w:val="20"/>
        </w:rPr>
        <w:t>prazo de no mínimo trinta minutos, para que qualquer licitante manifeste a intenção de recorrer, de forma motivada, isto é, indicando contra qual(is) decisão(ões) pretende recorrer e por quais motivos, em campo próprio do sistema.</w:t>
      </w:r>
    </w:p>
    <w:p>
      <w:pPr>
        <w:pStyle w:val="23"/>
        <w:numPr>
          <w:ilvl w:val="1"/>
          <w:numId w:val="2"/>
        </w:numPr>
        <w:spacing w:line="276" w:lineRule="auto"/>
        <w:ind w:left="0" w:firstLine="0"/>
        <w:jc w:val="both"/>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Havendo quem se manifeste, caberá a pregoeira verificar a tempestividade e a existência de motivação da intenção de recorrer, para decidir se admite ou não o recurso, fundamentadamente.</w:t>
      </w:r>
    </w:p>
    <w:p>
      <w:pPr>
        <w:numPr>
          <w:ilvl w:val="2"/>
          <w:numId w:val="2"/>
        </w:numPr>
        <w:tabs>
          <w:tab w:val="left" w:pos="567"/>
          <w:tab w:val="left" w:pos="1440"/>
        </w:tabs>
        <w:autoSpaceDE w:val="0"/>
        <w:snapToGrid w:val="0"/>
        <w:spacing w:before="120" w:after="120" w:line="276" w:lineRule="auto"/>
        <w:ind w:left="0" w:firstLine="0"/>
        <w:jc w:val="both"/>
        <w:rPr>
          <w:rFonts w:hint="default" w:ascii="Times New Roman" w:hAnsi="Times New Roman" w:cs="Times New Roman"/>
        </w:rPr>
      </w:pPr>
      <w:r>
        <w:rPr>
          <w:rFonts w:hint="default" w:ascii="Times New Roman" w:hAnsi="Times New Roman" w:cs="Times New Roman"/>
          <w:color w:val="000000"/>
          <w:sz w:val="20"/>
          <w:szCs w:val="20"/>
        </w:rPr>
        <w:t>Nesse momento a pregoeira não adentrará no mérito recursal, mas apenas verificará as condições de admissibilidade do recurso.</w:t>
      </w:r>
    </w:p>
    <w:p>
      <w:pPr>
        <w:numPr>
          <w:ilvl w:val="2"/>
          <w:numId w:val="2"/>
        </w:numPr>
        <w:tabs>
          <w:tab w:val="left" w:pos="1440"/>
        </w:tabs>
        <w:autoSpaceDE w:val="0"/>
        <w:snapToGrid w:val="0"/>
        <w:spacing w:before="120" w:after="120" w:line="276" w:lineRule="auto"/>
        <w:ind w:left="0" w:firstLine="0"/>
        <w:jc w:val="both"/>
        <w:rPr>
          <w:rFonts w:hint="default" w:ascii="Times New Roman" w:hAnsi="Times New Roman" w:cs="Times New Roman"/>
          <w:sz w:val="20"/>
          <w:szCs w:val="20"/>
          <w:u w:val="single"/>
        </w:rPr>
      </w:pPr>
      <w:r>
        <w:rPr>
          <w:rFonts w:hint="default" w:ascii="Times New Roman" w:hAnsi="Times New Roman" w:cs="Times New Roman"/>
          <w:sz w:val="20"/>
          <w:szCs w:val="20"/>
        </w:rPr>
        <w:t>A falta de manifestação motivada do licitante quanto à intenção de recorrer importará a decadência desse direito.</w:t>
      </w:r>
    </w:p>
    <w:p>
      <w:pPr>
        <w:numPr>
          <w:ilvl w:val="2"/>
          <w:numId w:val="2"/>
        </w:numPr>
        <w:tabs>
          <w:tab w:val="left" w:pos="1440"/>
        </w:tabs>
        <w:autoSpaceDE w:val="0"/>
        <w:snapToGrid w:val="0"/>
        <w:spacing w:before="120" w:after="120" w:line="276" w:lineRule="auto"/>
        <w:ind w:left="0" w:firstLine="0"/>
        <w:jc w:val="both"/>
        <w:rPr>
          <w:rFonts w:hint="default" w:ascii="Times New Roman" w:hAnsi="Times New Roman" w:cs="Times New Roman"/>
          <w:color w:val="000000"/>
          <w:sz w:val="20"/>
          <w:szCs w:val="20"/>
        </w:rPr>
      </w:pPr>
      <w:r>
        <w:rPr>
          <w:rFonts w:hint="default" w:ascii="Times New Roman" w:hAnsi="Times New Roman" w:cs="Times New Roman"/>
          <w:sz w:val="20"/>
          <w:szCs w:val="20"/>
        </w:rPr>
        <w:t xml:space="preserve">Uma vez admitido </w:t>
      </w:r>
      <w:r>
        <w:rPr>
          <w:rFonts w:hint="default" w:ascii="Times New Roman" w:hAnsi="Times New Roman" w:cs="Times New Roman"/>
          <w:color w:val="000000"/>
          <w:sz w:val="20"/>
          <w:szCs w:val="20"/>
        </w:rPr>
        <w:t>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pPr>
        <w:pStyle w:val="23"/>
        <w:numPr>
          <w:ilvl w:val="1"/>
          <w:numId w:val="2"/>
        </w:numPr>
        <w:spacing w:before="120" w:after="120" w:line="276" w:lineRule="auto"/>
        <w:ind w:left="0" w:firstLine="0"/>
        <w:jc w:val="both"/>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 xml:space="preserve">O acolhimento do recurso invalida tão somente os atos insuscetíveis de aproveitamento. </w:t>
      </w:r>
    </w:p>
    <w:p>
      <w:pPr>
        <w:pStyle w:val="23"/>
        <w:numPr>
          <w:ilvl w:val="1"/>
          <w:numId w:val="2"/>
        </w:numPr>
        <w:spacing w:line="276" w:lineRule="auto"/>
        <w:ind w:left="0" w:firstLine="0"/>
        <w:jc w:val="both"/>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Os autos do processo permanecerão com vista franqueada aos interessados, no endereço constante neste Edital.</w:t>
      </w:r>
    </w:p>
    <w:p>
      <w:pPr>
        <w:pStyle w:val="23"/>
        <w:spacing w:line="276" w:lineRule="auto"/>
        <w:ind w:left="0"/>
        <w:jc w:val="both"/>
        <w:rPr>
          <w:rFonts w:hint="default" w:ascii="Times New Roman" w:hAnsi="Times New Roman" w:cs="Times New Roman"/>
          <w:color w:val="000000"/>
          <w:sz w:val="20"/>
          <w:szCs w:val="20"/>
        </w:rPr>
      </w:pPr>
    </w:p>
    <w:p>
      <w:pPr>
        <w:pStyle w:val="38"/>
        <w:numPr>
          <w:ilvl w:val="0"/>
          <w:numId w:val="2"/>
        </w:numPr>
        <w:spacing w:before="0"/>
        <w:ind w:left="0" w:firstLine="0"/>
        <w:rPr>
          <w:rFonts w:hint="default" w:ascii="Times New Roman" w:hAnsi="Times New Roman" w:cs="Times New Roman"/>
          <w:lang w:eastAsia="en-US"/>
        </w:rPr>
      </w:pPr>
      <w:r>
        <w:rPr>
          <w:rFonts w:hint="default" w:ascii="Times New Roman" w:hAnsi="Times New Roman" w:cs="Times New Roman"/>
          <w:lang w:eastAsia="en-US"/>
        </w:rPr>
        <w:t>DA REABERTURA DA SESSÃO PÚBLICA</w:t>
      </w:r>
    </w:p>
    <w:p>
      <w:pPr>
        <w:rPr>
          <w:rFonts w:hint="default" w:ascii="Times New Roman" w:hAnsi="Times New Roman" w:cs="Times New Roman"/>
          <w:lang w:eastAsia="en-US"/>
        </w:rPr>
      </w:pPr>
    </w:p>
    <w:p>
      <w:pPr>
        <w:pStyle w:val="38"/>
        <w:keepNext w:val="0"/>
        <w:keepLines w:val="0"/>
        <w:numPr>
          <w:ilvl w:val="1"/>
          <w:numId w:val="2"/>
        </w:numPr>
        <w:tabs>
          <w:tab w:val="clear" w:pos="567"/>
        </w:tabs>
        <w:spacing w:before="0" w:line="276" w:lineRule="auto"/>
        <w:ind w:left="0" w:firstLine="0"/>
        <w:outlineLvl w:val="9"/>
        <w:rPr>
          <w:rFonts w:hint="default" w:ascii="Times New Roman" w:hAnsi="Times New Roman" w:cs="Times New Roman"/>
          <w:b w:val="0"/>
          <w:bCs w:val="0"/>
          <w:color w:val="auto"/>
        </w:rPr>
      </w:pPr>
      <w:r>
        <w:rPr>
          <w:rFonts w:hint="default" w:ascii="Times New Roman" w:hAnsi="Times New Roman" w:cs="Times New Roman"/>
          <w:b w:val="0"/>
          <w:bCs w:val="0"/>
          <w:color w:val="auto"/>
        </w:rPr>
        <w:t>A sessão pública poderá ser reaberta:</w:t>
      </w:r>
    </w:p>
    <w:p>
      <w:pPr>
        <w:pStyle w:val="38"/>
        <w:keepNext w:val="0"/>
        <w:keepLines w:val="0"/>
        <w:numPr>
          <w:ilvl w:val="2"/>
          <w:numId w:val="2"/>
        </w:numPr>
        <w:tabs>
          <w:tab w:val="clear" w:pos="567"/>
        </w:tabs>
        <w:spacing w:before="120" w:after="120" w:line="276" w:lineRule="auto"/>
        <w:ind w:left="0" w:firstLine="0"/>
        <w:outlineLvl w:val="9"/>
        <w:rPr>
          <w:rFonts w:hint="default" w:ascii="Times New Roman" w:hAnsi="Times New Roman" w:cs="Times New Roman"/>
          <w:b w:val="0"/>
          <w:bCs w:val="0"/>
          <w:color w:val="auto"/>
        </w:rPr>
      </w:pPr>
      <w:r>
        <w:rPr>
          <w:rFonts w:hint="default" w:ascii="Times New Roman" w:hAnsi="Times New Roman" w:cs="Times New Roman"/>
          <w:b w:val="0"/>
          <w:bCs w:val="0"/>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pPr>
        <w:pStyle w:val="38"/>
        <w:keepNext w:val="0"/>
        <w:keepLines w:val="0"/>
        <w:numPr>
          <w:ilvl w:val="2"/>
          <w:numId w:val="2"/>
        </w:numPr>
        <w:tabs>
          <w:tab w:val="clear" w:pos="567"/>
        </w:tabs>
        <w:spacing w:before="120" w:after="120" w:line="276" w:lineRule="auto"/>
        <w:ind w:left="0" w:firstLine="0"/>
        <w:outlineLvl w:val="9"/>
        <w:rPr>
          <w:rFonts w:hint="default" w:ascii="Times New Roman" w:hAnsi="Times New Roman" w:cs="Times New Roman"/>
          <w:b w:val="0"/>
          <w:bCs w:val="0"/>
          <w:color w:val="auto"/>
        </w:rPr>
      </w:pPr>
      <w:r>
        <w:rPr>
          <w:rFonts w:hint="default" w:ascii="Times New Roman" w:hAnsi="Times New Roman" w:cs="Times New Roman"/>
          <w:b w:val="0"/>
          <w:bCs w:val="0"/>
          <w:color w:val="auto"/>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pPr>
        <w:pStyle w:val="38"/>
        <w:keepNext w:val="0"/>
        <w:keepLines w:val="0"/>
        <w:numPr>
          <w:ilvl w:val="1"/>
          <w:numId w:val="2"/>
        </w:numPr>
        <w:tabs>
          <w:tab w:val="clear" w:pos="567"/>
        </w:tabs>
        <w:spacing w:before="120" w:after="120" w:line="276" w:lineRule="auto"/>
        <w:ind w:left="0" w:firstLine="0"/>
        <w:outlineLvl w:val="9"/>
        <w:rPr>
          <w:rFonts w:hint="default" w:ascii="Times New Roman" w:hAnsi="Times New Roman" w:cs="Times New Roman"/>
          <w:b w:val="0"/>
          <w:bCs w:val="0"/>
          <w:color w:val="auto"/>
        </w:rPr>
      </w:pPr>
      <w:r>
        <w:rPr>
          <w:rFonts w:hint="default" w:ascii="Times New Roman" w:hAnsi="Times New Roman" w:cs="Times New Roman"/>
          <w:b w:val="0"/>
          <w:bCs w:val="0"/>
          <w:color w:val="auto"/>
        </w:rPr>
        <w:t>Todos os licitantes remanescentes deverão ser convocados para acompanhar a sessão reaberta.</w:t>
      </w:r>
    </w:p>
    <w:p>
      <w:pPr>
        <w:pStyle w:val="38"/>
        <w:keepNext w:val="0"/>
        <w:keepLines w:val="0"/>
        <w:numPr>
          <w:ilvl w:val="2"/>
          <w:numId w:val="2"/>
        </w:numPr>
        <w:spacing w:before="120" w:after="120" w:line="276" w:lineRule="auto"/>
        <w:ind w:left="0" w:firstLine="0"/>
        <w:outlineLvl w:val="9"/>
        <w:rPr>
          <w:rFonts w:hint="default" w:ascii="Times New Roman" w:hAnsi="Times New Roman" w:cs="Times New Roman"/>
          <w:b w:val="0"/>
          <w:bCs w:val="0"/>
          <w:color w:val="auto"/>
        </w:rPr>
      </w:pPr>
      <w:r>
        <w:rPr>
          <w:rFonts w:hint="default" w:ascii="Times New Roman" w:hAnsi="Times New Roman" w:cs="Times New Roman"/>
          <w:b w:val="0"/>
          <w:bCs w:val="0"/>
          <w:color w:val="auto"/>
        </w:rPr>
        <w:t>A convocação se dará por meio do sistema eletrônico (“chat”), e-mail, ou, ainda, fac-símile, de acordo com a fase do procedimento licitatório.</w:t>
      </w:r>
    </w:p>
    <w:p>
      <w:pPr>
        <w:pStyle w:val="38"/>
        <w:keepNext w:val="0"/>
        <w:keepLines w:val="0"/>
        <w:numPr>
          <w:ilvl w:val="2"/>
          <w:numId w:val="2"/>
        </w:numPr>
        <w:spacing w:before="120" w:after="120" w:line="276" w:lineRule="auto"/>
        <w:ind w:left="0" w:firstLine="0"/>
        <w:outlineLvl w:val="9"/>
        <w:rPr>
          <w:rFonts w:hint="default" w:ascii="Times New Roman" w:hAnsi="Times New Roman" w:cs="Times New Roman"/>
          <w:b w:val="0"/>
          <w:bCs w:val="0"/>
          <w:color w:val="auto"/>
        </w:rPr>
      </w:pPr>
      <w:r>
        <w:rPr>
          <w:rFonts w:hint="default" w:ascii="Times New Roman" w:hAnsi="Times New Roman" w:cs="Times New Roman"/>
          <w:b w:val="0"/>
          <w:bCs w:val="0"/>
          <w:color w:val="auto"/>
        </w:rPr>
        <w:t>A convocação feita por e-mail ou fac-símile dar-se-á de acordo com os dados contidos no SICAF, sendo responsabilidade do licitante manter seus dados cadastrais atualizados.</w:t>
      </w:r>
    </w:p>
    <w:p>
      <w:pPr>
        <w:pStyle w:val="38"/>
        <w:numPr>
          <w:ilvl w:val="0"/>
          <w:numId w:val="2"/>
        </w:numPr>
        <w:ind w:left="0" w:firstLine="0"/>
        <w:rPr>
          <w:rFonts w:hint="default" w:ascii="Times New Roman" w:hAnsi="Times New Roman" w:cs="Times New Roman"/>
        </w:rPr>
      </w:pPr>
      <w:r>
        <w:rPr>
          <w:rFonts w:hint="default" w:ascii="Times New Roman" w:hAnsi="Times New Roman" w:cs="Times New Roman"/>
        </w:rPr>
        <w:t>DA ADJUDICAÇÃO E HOMOLOGAÇÃO</w:t>
      </w:r>
    </w:p>
    <w:p>
      <w:pPr>
        <w:pStyle w:val="23"/>
        <w:numPr>
          <w:ilvl w:val="1"/>
          <w:numId w:val="2"/>
        </w:numPr>
        <w:tabs>
          <w:tab w:val="left" w:pos="567"/>
        </w:tabs>
        <w:spacing w:before="120" w:after="120" w:line="276" w:lineRule="auto"/>
        <w:ind w:left="0" w:firstLine="0"/>
        <w:jc w:val="both"/>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O objeto da licitação será adjudicado ao licitante declarado vencedor, por ato da pregoeira, caso não haja interposição de recurso, ou pela autoridade competente, após a regular decisão dos recursos apresentados.</w:t>
      </w:r>
    </w:p>
    <w:p>
      <w:pPr>
        <w:pStyle w:val="23"/>
        <w:numPr>
          <w:ilvl w:val="1"/>
          <w:numId w:val="2"/>
        </w:numPr>
        <w:tabs>
          <w:tab w:val="left" w:pos="851"/>
        </w:tabs>
        <w:spacing w:before="120" w:after="120" w:line="276" w:lineRule="auto"/>
        <w:ind w:left="0" w:firstLine="0"/>
        <w:jc w:val="both"/>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 xml:space="preserve">Após a fase recursal, constatada a regularidade dos atos praticados, a autoridade competente homologará o procedimento licitatório. </w:t>
      </w:r>
    </w:p>
    <w:p>
      <w:pPr>
        <w:pStyle w:val="38"/>
        <w:numPr>
          <w:ilvl w:val="0"/>
          <w:numId w:val="2"/>
        </w:numPr>
        <w:ind w:left="0" w:firstLine="0"/>
        <w:rPr>
          <w:rFonts w:hint="default" w:ascii="Times New Roman" w:hAnsi="Times New Roman" w:cs="Times New Roman"/>
          <w:color w:val="auto"/>
        </w:rPr>
      </w:pPr>
      <w:r>
        <w:rPr>
          <w:rFonts w:hint="default" w:ascii="Times New Roman" w:hAnsi="Times New Roman" w:cs="Times New Roman"/>
          <w:color w:val="auto"/>
        </w:rPr>
        <w:t xml:space="preserve"> DA GARANTIA DE EXECUÇÃO </w:t>
      </w:r>
    </w:p>
    <w:p>
      <w:pPr>
        <w:pStyle w:val="23"/>
        <w:numPr>
          <w:ilvl w:val="0"/>
          <w:numId w:val="9"/>
        </w:numPr>
        <w:tabs>
          <w:tab w:val="left" w:pos="851"/>
        </w:tabs>
        <w:spacing w:before="120" w:after="120" w:line="276" w:lineRule="auto"/>
        <w:ind w:left="0" w:firstLine="0"/>
        <w:jc w:val="both"/>
        <w:rPr>
          <w:rFonts w:hint="default" w:ascii="Times New Roman" w:hAnsi="Times New Roman" w:cs="Times New Roman"/>
          <w:vanish/>
          <w:color w:val="FF0000"/>
          <w:sz w:val="20"/>
          <w:szCs w:val="20"/>
        </w:rPr>
      </w:pPr>
    </w:p>
    <w:p>
      <w:pPr>
        <w:pStyle w:val="23"/>
        <w:numPr>
          <w:ilvl w:val="0"/>
          <w:numId w:val="9"/>
        </w:numPr>
        <w:tabs>
          <w:tab w:val="left" w:pos="851"/>
        </w:tabs>
        <w:spacing w:before="120" w:after="120" w:line="276" w:lineRule="auto"/>
        <w:ind w:left="0" w:firstLine="0"/>
        <w:jc w:val="both"/>
        <w:rPr>
          <w:rFonts w:hint="default" w:ascii="Times New Roman" w:hAnsi="Times New Roman" w:cs="Times New Roman"/>
          <w:vanish/>
          <w:color w:val="FF0000"/>
          <w:sz w:val="20"/>
          <w:szCs w:val="20"/>
        </w:rPr>
      </w:pPr>
    </w:p>
    <w:p>
      <w:pPr>
        <w:pStyle w:val="23"/>
        <w:numPr>
          <w:ilvl w:val="1"/>
          <w:numId w:val="2"/>
        </w:numPr>
        <w:tabs>
          <w:tab w:val="left" w:pos="851"/>
        </w:tabs>
        <w:spacing w:before="120" w:after="120" w:line="276" w:lineRule="auto"/>
        <w:ind w:left="0" w:firstLine="0"/>
        <w:jc w:val="both"/>
        <w:rPr>
          <w:rFonts w:hint="default" w:ascii="Times New Roman" w:hAnsi="Times New Roman" w:cs="Times New Roman"/>
          <w:iCs/>
          <w:sz w:val="20"/>
          <w:szCs w:val="20"/>
        </w:rPr>
      </w:pPr>
      <w:r>
        <w:rPr>
          <w:rFonts w:hint="default" w:ascii="Times New Roman" w:hAnsi="Times New Roman" w:cs="Times New Roman"/>
          <w:sz w:val="20"/>
          <w:szCs w:val="20"/>
        </w:rPr>
        <w:t>Será exigida a prestação de garantia na presente contratação, conforme regras constantes do Termo de Referência.</w:t>
      </w:r>
    </w:p>
    <w:p>
      <w:pPr>
        <w:pStyle w:val="38"/>
        <w:numPr>
          <w:ilvl w:val="0"/>
          <w:numId w:val="2"/>
        </w:numPr>
        <w:ind w:left="0" w:firstLine="0"/>
        <w:rPr>
          <w:rFonts w:hint="default" w:ascii="Times New Roman" w:hAnsi="Times New Roman" w:cs="Times New Roman"/>
        </w:rPr>
      </w:pPr>
      <w:r>
        <w:rPr>
          <w:rFonts w:hint="default" w:ascii="Times New Roman" w:hAnsi="Times New Roman" w:cs="Times New Roman"/>
        </w:rPr>
        <w:t>GARANTIA CONTRATUAL DOS BENS</w:t>
      </w:r>
    </w:p>
    <w:p>
      <w:pPr>
        <w:pStyle w:val="23"/>
        <w:numPr>
          <w:ilvl w:val="1"/>
          <w:numId w:val="2"/>
        </w:numPr>
        <w:tabs>
          <w:tab w:val="left" w:pos="0"/>
          <w:tab w:val="left" w:pos="851"/>
        </w:tabs>
        <w:spacing w:before="120" w:after="120" w:line="276" w:lineRule="auto"/>
        <w:jc w:val="both"/>
        <w:rPr>
          <w:rFonts w:hint="default" w:ascii="Times New Roman" w:hAnsi="Times New Roman" w:cs="Times New Roman"/>
        </w:rPr>
      </w:pPr>
      <w:r>
        <w:rPr>
          <w:rFonts w:hint="default" w:ascii="Times New Roman" w:hAnsi="Times New Roman" w:cs="Times New Roman"/>
          <w:iCs/>
          <w:sz w:val="20"/>
          <w:szCs w:val="20"/>
        </w:rPr>
        <w:t>Será exigida garantia contratual dos bens fornecidos na presente contratação, complementar à legal, conforme prazos mínimos e demais regras constantes do Termo de Referência.</w:t>
      </w:r>
    </w:p>
    <w:p>
      <w:pPr>
        <w:pStyle w:val="38"/>
        <w:rPr>
          <w:rFonts w:hint="default" w:ascii="Times New Roman" w:hAnsi="Times New Roman" w:cs="Times New Roman"/>
        </w:rPr>
      </w:pPr>
      <w:r>
        <w:rPr>
          <w:rFonts w:hint="default" w:ascii="Times New Roman" w:hAnsi="Times New Roman" w:cs="Times New Roman"/>
        </w:rPr>
        <w:t xml:space="preserve"> DO TERMO DE CONTRATO OU INSTRUMENTO EQUIVALENTE</w:t>
      </w:r>
    </w:p>
    <w:p>
      <w:pPr>
        <w:pStyle w:val="23"/>
        <w:numPr>
          <w:ilvl w:val="1"/>
          <w:numId w:val="2"/>
        </w:numPr>
        <w:tabs>
          <w:tab w:val="left" w:pos="0"/>
          <w:tab w:val="left" w:pos="851"/>
        </w:tabs>
        <w:spacing w:before="120" w:after="120" w:line="276" w:lineRule="auto"/>
        <w:ind w:left="0" w:firstLine="0"/>
        <w:jc w:val="both"/>
        <w:rPr>
          <w:rFonts w:hint="default" w:ascii="Times New Roman" w:hAnsi="Times New Roman" w:cs="Times New Roman"/>
          <w:sz w:val="20"/>
          <w:szCs w:val="20"/>
        </w:rPr>
      </w:pPr>
      <w:r>
        <w:rPr>
          <w:rFonts w:hint="default" w:ascii="Times New Roman" w:hAnsi="Times New Roman" w:cs="Times New Roman"/>
          <w:sz w:val="20"/>
          <w:szCs w:val="20"/>
        </w:rPr>
        <w:t>Na hipótese de contratação, poderá ser firmado Termo de Contrato ou emitido instrumento equivalente.</w:t>
      </w:r>
    </w:p>
    <w:p>
      <w:pPr>
        <w:pStyle w:val="23"/>
        <w:numPr>
          <w:ilvl w:val="1"/>
          <w:numId w:val="2"/>
        </w:numPr>
        <w:tabs>
          <w:tab w:val="left" w:pos="0"/>
          <w:tab w:val="left" w:pos="851"/>
        </w:tabs>
        <w:spacing w:before="120" w:after="120" w:line="276" w:lineRule="auto"/>
        <w:ind w:left="0" w:firstLine="0"/>
        <w:jc w:val="both"/>
        <w:rPr>
          <w:rFonts w:hint="default" w:ascii="Times New Roman" w:hAnsi="Times New Roman" w:cs="Times New Roman"/>
          <w:sz w:val="20"/>
          <w:szCs w:val="20"/>
        </w:rPr>
      </w:pPr>
      <w:r>
        <w:rPr>
          <w:rFonts w:hint="default" w:ascii="Times New Roman" w:hAnsi="Times New Roman" w:cs="Times New Roman"/>
          <w:sz w:val="20"/>
          <w:szCs w:val="20"/>
        </w:rPr>
        <w:t xml:space="preserve">O adjudicatário terá o prazo de 05 (cinco) 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pPr>
        <w:pStyle w:val="23"/>
        <w:numPr>
          <w:ilvl w:val="2"/>
          <w:numId w:val="2"/>
        </w:numPr>
        <w:tabs>
          <w:tab w:val="left" w:pos="0"/>
          <w:tab w:val="left" w:pos="851"/>
        </w:tabs>
        <w:spacing w:before="120" w:after="120" w:line="276" w:lineRule="auto"/>
        <w:ind w:left="0" w:firstLine="0"/>
        <w:jc w:val="both"/>
        <w:rPr>
          <w:rFonts w:hint="default" w:ascii="Times New Roman" w:hAnsi="Times New Roman" w:cs="Times New Roman"/>
          <w:sz w:val="20"/>
          <w:szCs w:val="20"/>
        </w:rPr>
      </w:pPr>
      <w:r>
        <w:rPr>
          <w:rFonts w:hint="default" w:ascii="Times New Roman" w:hAnsi="Times New Roman" w:cs="Times New Roman"/>
          <w:sz w:val="20"/>
          <w:szCs w:val="20"/>
        </w:rPr>
        <w:t xml:space="preserve">Alternativamente à convocação para comparecer perante o órgão ou entidade para a assinatura do Termo de Contrato ou aceite do instrumento equivalente, a Administração poderá encaminhá-lo para assinatura ou aceite da Adjudicatária, mediante correspondência postal com aviso de recebimento (AR) ou meio eletrônico, para que seja assinado ou aceito </w:t>
      </w:r>
      <w:r>
        <w:rPr>
          <w:rFonts w:hint="default" w:ascii="Times New Roman" w:hAnsi="Times New Roman" w:cs="Times New Roman"/>
          <w:iCs/>
          <w:sz w:val="20"/>
          <w:szCs w:val="20"/>
        </w:rPr>
        <w:t>e postado n</w:t>
      </w:r>
      <w:r>
        <w:rPr>
          <w:rFonts w:hint="default" w:ascii="Times New Roman" w:hAnsi="Times New Roman" w:cs="Times New Roman"/>
          <w:sz w:val="20"/>
          <w:szCs w:val="20"/>
        </w:rPr>
        <w:t>o prazo de 05 (cinco) dias úteis.</w:t>
      </w:r>
    </w:p>
    <w:p>
      <w:pPr>
        <w:pStyle w:val="38"/>
        <w:numPr>
          <w:ilvl w:val="2"/>
          <w:numId w:val="2"/>
        </w:numPr>
        <w:ind w:left="0" w:firstLine="0"/>
        <w:rPr>
          <w:rFonts w:hint="default" w:ascii="Times New Roman" w:hAnsi="Times New Roman" w:cs="Times New Roman"/>
          <w:b w:val="0"/>
        </w:rPr>
      </w:pPr>
      <w:r>
        <w:rPr>
          <w:rFonts w:hint="default" w:ascii="Times New Roman" w:hAnsi="Times New Roman" w:cs="Times New Roman"/>
          <w:b w:val="0"/>
        </w:rPr>
        <w:t>O prazo previsto no subitem anterior poderá ser prorrogado, por igual período, por solicitação justificada do adjudicatário e aceita pela Administração.</w:t>
      </w:r>
    </w:p>
    <w:p>
      <w:pPr>
        <w:pStyle w:val="38"/>
        <w:numPr>
          <w:ilvl w:val="1"/>
          <w:numId w:val="2"/>
        </w:numPr>
        <w:tabs>
          <w:tab w:val="left" w:pos="-284"/>
          <w:tab w:val="clear" w:pos="567"/>
        </w:tabs>
        <w:ind w:left="0" w:firstLine="0"/>
        <w:rPr>
          <w:rFonts w:hint="default" w:ascii="Times New Roman" w:hAnsi="Times New Roman" w:cs="Times New Roman"/>
          <w:b w:val="0"/>
        </w:rPr>
      </w:pPr>
      <w:r>
        <w:rPr>
          <w:rFonts w:hint="default" w:ascii="Times New Roman" w:hAnsi="Times New Roman" w:cs="Times New Roman"/>
          <w:b w:val="0"/>
        </w:rPr>
        <w:t>O Aceite da Nota de Empenho ou do instrumento equivalente, emitida à empresa adjudicada, implica no reconhecimento de que:</w:t>
      </w:r>
    </w:p>
    <w:p>
      <w:pPr>
        <w:pStyle w:val="23"/>
        <w:numPr>
          <w:ilvl w:val="2"/>
          <w:numId w:val="2"/>
        </w:numPr>
        <w:spacing w:before="240" w:after="240" w:line="360" w:lineRule="auto"/>
        <w:ind w:left="0" w:firstLine="0"/>
        <w:jc w:val="both"/>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referida Nota está substituindo o contrato, aplicando-se à relação de negócios ali estabelecida as disposições da Lei nº 8.666, de 1993;</w:t>
      </w:r>
    </w:p>
    <w:p>
      <w:pPr>
        <w:pStyle w:val="23"/>
        <w:numPr>
          <w:ilvl w:val="2"/>
          <w:numId w:val="2"/>
        </w:numPr>
        <w:tabs>
          <w:tab w:val="left" w:pos="567"/>
        </w:tabs>
        <w:spacing w:before="240" w:after="240" w:line="360" w:lineRule="auto"/>
        <w:ind w:left="0" w:firstLine="0"/>
        <w:jc w:val="both"/>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A contratada se vincula à sua proposta e às previsões contidas no edital e seus anexos;</w:t>
      </w:r>
    </w:p>
    <w:p>
      <w:pPr>
        <w:pStyle w:val="23"/>
        <w:tabs>
          <w:tab w:val="left" w:pos="567"/>
        </w:tabs>
        <w:spacing w:before="240" w:after="240" w:line="276" w:lineRule="auto"/>
        <w:ind w:left="0"/>
        <w:jc w:val="both"/>
        <w:rPr>
          <w:rFonts w:hint="default" w:ascii="Times New Roman" w:hAnsi="Times New Roman" w:cs="Times New Roman"/>
          <w:sz w:val="20"/>
          <w:szCs w:val="20"/>
        </w:rPr>
      </w:pPr>
      <w:r>
        <w:rPr>
          <w:rFonts w:hint="default" w:ascii="Times New Roman" w:hAnsi="Times New Roman" w:cs="Times New Roman"/>
          <w:color w:val="000000"/>
          <w:sz w:val="20"/>
          <w:szCs w:val="20"/>
        </w:rPr>
        <w:t>15.3.3. a contratada reconhece que as hipóteses de rescisão são aquelas previstas nos artigos 77 e 78 da Lei nº 8.666/93 e reconhece os direitos da Administração previstos nos artigos 79 e 80 da mesma Lei.</w:t>
      </w:r>
    </w:p>
    <w:p>
      <w:pPr>
        <w:pStyle w:val="23"/>
        <w:numPr>
          <w:ilvl w:val="1"/>
          <w:numId w:val="2"/>
        </w:numPr>
        <w:tabs>
          <w:tab w:val="left" w:pos="567"/>
        </w:tabs>
        <w:spacing w:before="240" w:after="240" w:line="276" w:lineRule="auto"/>
        <w:ind w:left="0" w:firstLine="0"/>
        <w:jc w:val="both"/>
        <w:rPr>
          <w:rFonts w:hint="default" w:ascii="Times New Roman" w:hAnsi="Times New Roman" w:cs="Times New Roman"/>
          <w:sz w:val="20"/>
          <w:szCs w:val="20"/>
        </w:rPr>
      </w:pPr>
      <w:r>
        <w:rPr>
          <w:rFonts w:hint="default" w:ascii="Times New Roman" w:hAnsi="Times New Roman" w:cs="Times New Roman"/>
          <w:sz w:val="20"/>
          <w:szCs w:val="20"/>
        </w:rPr>
        <w:t xml:space="preserve">O prazo de vigência da contratação não será superior à doze meses, prorrogável conforme previsão no instrumento contratual ou no termo de referência. </w:t>
      </w:r>
    </w:p>
    <w:p>
      <w:pPr>
        <w:pStyle w:val="23"/>
        <w:numPr>
          <w:ilvl w:val="1"/>
          <w:numId w:val="2"/>
        </w:numPr>
        <w:tabs>
          <w:tab w:val="left" w:pos="567"/>
        </w:tabs>
        <w:spacing w:before="240" w:after="240" w:line="276" w:lineRule="auto"/>
        <w:ind w:left="0" w:hanging="1"/>
        <w:jc w:val="both"/>
        <w:rPr>
          <w:rFonts w:hint="default" w:ascii="Times New Roman" w:hAnsi="Times New Roman" w:cs="Times New Roman"/>
          <w:sz w:val="20"/>
          <w:szCs w:val="20"/>
        </w:rPr>
      </w:pPr>
      <w:r>
        <w:rPr>
          <w:rFonts w:hint="default" w:ascii="Times New Roman" w:hAnsi="Times New Roman" w:cs="Times New Roman"/>
          <w:sz w:val="20"/>
          <w:szCs w:val="20"/>
        </w:rPr>
        <w:t>Previamente à contratação a Administração realizará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w:t>
      </w:r>
    </w:p>
    <w:p>
      <w:pPr>
        <w:pStyle w:val="23"/>
        <w:numPr>
          <w:ilvl w:val="2"/>
          <w:numId w:val="2"/>
        </w:numPr>
        <w:tabs>
          <w:tab w:val="left" w:pos="567"/>
        </w:tabs>
        <w:spacing w:before="240" w:after="240" w:line="276" w:lineRule="auto"/>
        <w:ind w:left="0" w:firstLine="0"/>
        <w:jc w:val="both"/>
        <w:rPr>
          <w:rFonts w:hint="default" w:ascii="Times New Roman" w:hAnsi="Times New Roman" w:cs="Times New Roman"/>
          <w:sz w:val="20"/>
          <w:szCs w:val="20"/>
        </w:rPr>
      </w:pPr>
      <w:r>
        <w:rPr>
          <w:rFonts w:hint="default" w:ascii="Times New Roman" w:hAnsi="Times New Roman" w:cs="Times New Roman"/>
          <w:sz w:val="20"/>
          <w:szCs w:val="20"/>
        </w:rPr>
        <w:t>Nos casos em que houver necessidade de assinatura do instrumento de contrato, e o fornecedor não estiver inscrito no SICAF, este deverá proceder ao seu cadastramento, sem ônus, antes da contratação.</w:t>
      </w:r>
    </w:p>
    <w:p>
      <w:pPr>
        <w:pStyle w:val="23"/>
        <w:numPr>
          <w:ilvl w:val="2"/>
          <w:numId w:val="2"/>
        </w:numPr>
        <w:tabs>
          <w:tab w:val="left" w:pos="567"/>
        </w:tabs>
        <w:spacing w:before="120" w:after="120" w:line="276" w:lineRule="auto"/>
        <w:ind w:left="0" w:firstLine="0"/>
        <w:jc w:val="both"/>
        <w:rPr>
          <w:rFonts w:hint="default" w:ascii="Times New Roman" w:hAnsi="Times New Roman" w:cs="Times New Roman"/>
          <w:color w:val="000000"/>
          <w:sz w:val="20"/>
          <w:szCs w:val="20"/>
        </w:rPr>
      </w:pPr>
      <w:r>
        <w:rPr>
          <w:rFonts w:hint="default" w:ascii="Times New Roman" w:hAnsi="Times New Roman" w:cs="Times New Roman"/>
          <w:sz w:val="20"/>
          <w:szCs w:val="20"/>
        </w:rPr>
        <w:t>Na hipótese de irregularidade do registro no SICAF, o contratado deverá regularizar a sua situação perante o cadastro no prazo de até 05 (cinco) dias úteis, sob pena de aplicação das penalidades previstas no edital e anexos.</w:t>
      </w:r>
    </w:p>
    <w:p>
      <w:pPr>
        <w:pStyle w:val="23"/>
        <w:numPr>
          <w:ilvl w:val="1"/>
          <w:numId w:val="2"/>
        </w:numPr>
        <w:tabs>
          <w:tab w:val="left" w:pos="567"/>
        </w:tabs>
        <w:spacing w:before="120" w:after="120" w:line="276" w:lineRule="auto"/>
        <w:ind w:left="0" w:firstLine="0"/>
        <w:jc w:val="both"/>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Na assinatura do contrato, será exigida a comprovação das condições de habilitação consignadas no edital, que deverão ser mantidas pelo licitante durante a vigência do contrato.</w:t>
      </w:r>
    </w:p>
    <w:p>
      <w:pPr>
        <w:numPr>
          <w:ilvl w:val="1"/>
          <w:numId w:val="2"/>
        </w:numPr>
        <w:tabs>
          <w:tab w:val="left" w:pos="567"/>
        </w:tabs>
        <w:spacing w:before="120" w:after="120" w:line="276" w:lineRule="auto"/>
        <w:ind w:left="0" w:firstLine="0"/>
        <w:jc w:val="both"/>
        <w:rPr>
          <w:rFonts w:hint="default" w:ascii="Times New Roman" w:hAnsi="Times New Roman" w:cs="Times New Roman"/>
        </w:rPr>
      </w:pPr>
      <w:r>
        <w:rPr>
          <w:rFonts w:hint="default" w:ascii="Times New Roman" w:hAnsi="Times New Roman" w:cs="Times New Roman"/>
          <w:color w:val="000000"/>
          <w:sz w:val="20"/>
          <w:szCs w:val="20"/>
        </w:rPr>
        <w:t>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p>
    <w:p>
      <w:pPr>
        <w:pStyle w:val="38"/>
        <w:numPr>
          <w:ilvl w:val="0"/>
          <w:numId w:val="2"/>
        </w:numPr>
        <w:tabs>
          <w:tab w:val="clear" w:pos="567"/>
        </w:tabs>
        <w:ind w:left="0" w:firstLine="0"/>
        <w:rPr>
          <w:rFonts w:hint="default" w:ascii="Times New Roman" w:hAnsi="Times New Roman" w:cs="Times New Roman"/>
        </w:rPr>
      </w:pPr>
      <w:r>
        <w:rPr>
          <w:rFonts w:hint="default" w:ascii="Times New Roman" w:hAnsi="Times New Roman" w:cs="Times New Roman"/>
        </w:rPr>
        <w:t>DO REAJUSTAMENTO EM SENTIDO GERAL</w:t>
      </w:r>
    </w:p>
    <w:p>
      <w:pPr>
        <w:rPr>
          <w:rFonts w:hint="default" w:ascii="Times New Roman" w:hAnsi="Times New Roman" w:cs="Times New Roman"/>
          <w:sz w:val="20"/>
          <w:szCs w:val="20"/>
        </w:rPr>
      </w:pPr>
    </w:p>
    <w:p>
      <w:pPr>
        <w:pStyle w:val="23"/>
        <w:numPr>
          <w:ilvl w:val="0"/>
          <w:numId w:val="10"/>
        </w:numPr>
        <w:spacing w:before="120" w:after="120" w:line="276" w:lineRule="auto"/>
        <w:ind w:left="0" w:firstLine="0"/>
        <w:jc w:val="both"/>
        <w:rPr>
          <w:rFonts w:hint="default" w:ascii="Times New Roman" w:hAnsi="Times New Roman" w:cs="Times New Roman"/>
          <w:vanish/>
          <w:color w:val="000000"/>
          <w:sz w:val="20"/>
          <w:szCs w:val="20"/>
        </w:rPr>
      </w:pPr>
    </w:p>
    <w:p>
      <w:pPr>
        <w:pStyle w:val="23"/>
        <w:numPr>
          <w:ilvl w:val="0"/>
          <w:numId w:val="10"/>
        </w:numPr>
        <w:spacing w:before="120" w:after="120" w:line="276" w:lineRule="auto"/>
        <w:ind w:left="0" w:firstLine="0"/>
        <w:jc w:val="both"/>
        <w:rPr>
          <w:rFonts w:hint="default" w:ascii="Times New Roman" w:hAnsi="Times New Roman" w:cs="Times New Roman"/>
          <w:vanish/>
          <w:color w:val="000000"/>
          <w:sz w:val="20"/>
          <w:szCs w:val="20"/>
        </w:rPr>
      </w:pPr>
    </w:p>
    <w:p>
      <w:pPr>
        <w:pStyle w:val="23"/>
        <w:numPr>
          <w:ilvl w:val="0"/>
          <w:numId w:val="10"/>
        </w:numPr>
        <w:spacing w:before="120" w:after="120" w:line="276" w:lineRule="auto"/>
        <w:ind w:left="0" w:firstLine="0"/>
        <w:jc w:val="both"/>
        <w:rPr>
          <w:rFonts w:hint="default" w:ascii="Times New Roman" w:hAnsi="Times New Roman" w:cs="Times New Roman"/>
          <w:vanish/>
          <w:color w:val="000000"/>
          <w:sz w:val="20"/>
          <w:szCs w:val="20"/>
        </w:rPr>
      </w:pPr>
    </w:p>
    <w:p>
      <w:pPr>
        <w:pStyle w:val="23"/>
        <w:numPr>
          <w:ilvl w:val="0"/>
          <w:numId w:val="10"/>
        </w:numPr>
        <w:spacing w:before="120" w:after="120" w:line="276" w:lineRule="auto"/>
        <w:ind w:left="0" w:firstLine="0"/>
        <w:jc w:val="both"/>
        <w:rPr>
          <w:rFonts w:hint="default" w:ascii="Times New Roman" w:hAnsi="Times New Roman" w:cs="Times New Roman"/>
          <w:vanish/>
          <w:color w:val="000000"/>
          <w:sz w:val="20"/>
          <w:szCs w:val="20"/>
        </w:rPr>
      </w:pPr>
    </w:p>
    <w:p>
      <w:pPr>
        <w:pStyle w:val="23"/>
        <w:numPr>
          <w:ilvl w:val="1"/>
          <w:numId w:val="2"/>
        </w:numPr>
        <w:spacing w:before="120" w:after="120" w:line="276" w:lineRule="auto"/>
        <w:ind w:left="0" w:firstLine="0"/>
        <w:jc w:val="both"/>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As regras acerca do reajustamento em sentido geral do valor contratual são as estabelecidas no Termo de Referência, anexo a este Edital.</w:t>
      </w:r>
    </w:p>
    <w:p>
      <w:pPr>
        <w:pStyle w:val="38"/>
        <w:numPr>
          <w:ilvl w:val="0"/>
          <w:numId w:val="2"/>
        </w:numPr>
        <w:tabs>
          <w:tab w:val="clear" w:pos="567"/>
        </w:tabs>
        <w:ind w:left="0" w:firstLine="0"/>
        <w:rPr>
          <w:rFonts w:hint="default" w:ascii="Times New Roman" w:hAnsi="Times New Roman" w:cs="Times New Roman"/>
        </w:rPr>
      </w:pPr>
      <w:r>
        <w:rPr>
          <w:rFonts w:hint="default" w:ascii="Times New Roman" w:hAnsi="Times New Roman" w:cs="Times New Roman"/>
        </w:rPr>
        <w:t>DO RECEBIMENTO DO OBJETO E DA FISCALIZAÇÃO</w:t>
      </w:r>
    </w:p>
    <w:p>
      <w:pPr>
        <w:pStyle w:val="23"/>
        <w:numPr>
          <w:ilvl w:val="1"/>
          <w:numId w:val="11"/>
        </w:numPr>
        <w:tabs>
          <w:tab w:val="left" w:pos="709"/>
        </w:tabs>
        <w:spacing w:before="120" w:after="120" w:line="276" w:lineRule="auto"/>
        <w:ind w:left="0" w:firstLine="0"/>
        <w:jc w:val="both"/>
        <w:rPr>
          <w:rFonts w:hint="default" w:ascii="Times New Roman" w:hAnsi="Times New Roman" w:cs="Times New Roman"/>
          <w:color w:val="000000"/>
          <w:sz w:val="20"/>
          <w:szCs w:val="20"/>
        </w:rPr>
      </w:pPr>
      <w:r>
        <w:rPr>
          <w:rFonts w:hint="default" w:ascii="Times New Roman" w:hAnsi="Times New Roman" w:cs="Times New Roman"/>
          <w:color w:val="000000"/>
          <w:sz w:val="20"/>
          <w:szCs w:val="20"/>
          <w:lang w:eastAsia="en-US"/>
        </w:rPr>
        <w:t>Os critérios de recebimento e aceitação do objeto e de fiscalização estão previstos no Termo de Referência/Projeto Básico.</w:t>
      </w:r>
    </w:p>
    <w:p>
      <w:pPr>
        <w:pStyle w:val="38"/>
        <w:numPr>
          <w:ilvl w:val="0"/>
          <w:numId w:val="2"/>
        </w:numPr>
        <w:tabs>
          <w:tab w:val="clear" w:pos="567"/>
        </w:tabs>
        <w:ind w:left="0" w:firstLine="0"/>
        <w:rPr>
          <w:rFonts w:hint="default" w:ascii="Times New Roman" w:hAnsi="Times New Roman" w:cs="Times New Roman"/>
        </w:rPr>
      </w:pPr>
      <w:r>
        <w:rPr>
          <w:rFonts w:hint="default" w:ascii="Times New Roman" w:hAnsi="Times New Roman" w:cs="Times New Roman"/>
          <w:lang w:eastAsia="en-US"/>
        </w:rPr>
        <w:t>DAS OBRIGAÇÕES DA CONTRATANTE E DA CONTRATADA</w:t>
      </w:r>
    </w:p>
    <w:p>
      <w:pPr>
        <w:pStyle w:val="23"/>
        <w:numPr>
          <w:ilvl w:val="1"/>
          <w:numId w:val="11"/>
        </w:numPr>
        <w:spacing w:before="120" w:after="120" w:line="276" w:lineRule="auto"/>
        <w:ind w:left="0" w:firstLine="0"/>
        <w:jc w:val="both"/>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lang w:eastAsia="en-US"/>
        </w:rPr>
        <w:t>As obrigações da Contratante e da Contratada são as estabelecidas no Termo de Referência/Projeto Básico.</w:t>
      </w:r>
    </w:p>
    <w:p>
      <w:pPr>
        <w:pStyle w:val="38"/>
        <w:numPr>
          <w:ilvl w:val="0"/>
          <w:numId w:val="2"/>
        </w:numPr>
        <w:tabs>
          <w:tab w:val="left" w:pos="-142"/>
          <w:tab w:val="clear" w:pos="567"/>
        </w:tabs>
        <w:ind w:left="0" w:firstLine="0"/>
        <w:rPr>
          <w:rFonts w:hint="default" w:ascii="Times New Roman" w:hAnsi="Times New Roman" w:cs="Times New Roman"/>
        </w:rPr>
      </w:pPr>
      <w:r>
        <w:rPr>
          <w:rFonts w:hint="default" w:ascii="Times New Roman" w:hAnsi="Times New Roman" w:cs="Times New Roman"/>
        </w:rPr>
        <w:t>DO PAGAMENTO</w:t>
      </w:r>
    </w:p>
    <w:p>
      <w:pPr>
        <w:pStyle w:val="23"/>
        <w:numPr>
          <w:ilvl w:val="1"/>
          <w:numId w:val="11"/>
        </w:numPr>
        <w:tabs>
          <w:tab w:val="left" w:pos="-142"/>
        </w:tabs>
        <w:spacing w:before="120" w:after="120" w:line="276" w:lineRule="auto"/>
        <w:ind w:left="0" w:firstLine="0"/>
        <w:jc w:val="both"/>
        <w:rPr>
          <w:rFonts w:hint="default" w:ascii="Times New Roman" w:hAnsi="Times New Roman" w:cs="Times New Roman"/>
          <w:color w:val="000000"/>
          <w:sz w:val="20"/>
          <w:szCs w:val="20"/>
          <w:lang w:eastAsia="en-US"/>
        </w:rPr>
      </w:pPr>
      <w:r>
        <w:rPr>
          <w:rFonts w:hint="default" w:ascii="Times New Roman" w:hAnsi="Times New Roman" w:cs="Times New Roman"/>
          <w:color w:val="000000"/>
          <w:sz w:val="20"/>
          <w:szCs w:val="20"/>
          <w:lang w:eastAsia="en-US"/>
        </w:rPr>
        <w:t>As regras acerca do pagamento são as estabelecidas no Termo de Referência, anexo a este Edital.</w:t>
      </w:r>
    </w:p>
    <w:p>
      <w:pPr>
        <w:pStyle w:val="38"/>
        <w:numPr>
          <w:ilvl w:val="0"/>
          <w:numId w:val="2"/>
        </w:numPr>
        <w:tabs>
          <w:tab w:val="clear" w:pos="567"/>
        </w:tabs>
        <w:ind w:left="0" w:firstLine="0"/>
        <w:rPr>
          <w:rFonts w:hint="default" w:ascii="Times New Roman" w:hAnsi="Times New Roman" w:cs="Times New Roman"/>
        </w:rPr>
      </w:pPr>
      <w:r>
        <w:rPr>
          <w:rFonts w:hint="default" w:ascii="Times New Roman" w:hAnsi="Times New Roman" w:cs="Times New Roman"/>
        </w:rPr>
        <w:t>DAS SANÇÕES ADMINISTRATIVAS.</w:t>
      </w:r>
    </w:p>
    <w:p>
      <w:pPr>
        <w:pStyle w:val="23"/>
        <w:numPr>
          <w:ilvl w:val="1"/>
          <w:numId w:val="12"/>
        </w:numPr>
        <w:spacing w:before="120" w:after="120" w:line="276" w:lineRule="auto"/>
        <w:ind w:left="0" w:firstLine="0"/>
        <w:jc w:val="both"/>
        <w:rPr>
          <w:rFonts w:hint="default" w:ascii="Times New Roman" w:hAnsi="Times New Roman" w:cs="Times New Roman"/>
          <w:sz w:val="20"/>
          <w:szCs w:val="20"/>
          <w:shd w:val="clear" w:color="auto" w:fill="FFFFFF"/>
        </w:rPr>
      </w:pPr>
      <w:r>
        <w:rPr>
          <w:rFonts w:hint="default" w:ascii="Times New Roman" w:hAnsi="Times New Roman" w:cs="Times New Roman"/>
          <w:sz w:val="20"/>
          <w:szCs w:val="20"/>
          <w:shd w:val="clear" w:color="auto" w:fill="FFFFFF"/>
        </w:rPr>
        <w:t xml:space="preserve">Comete infração administrativa, nos termos da Lei nº 10.520, de 2002, o licitante/adjudicatário que: </w:t>
      </w:r>
    </w:p>
    <w:p>
      <w:pPr>
        <w:numPr>
          <w:ilvl w:val="2"/>
          <w:numId w:val="2"/>
        </w:numPr>
        <w:tabs>
          <w:tab w:val="left" w:pos="1440"/>
        </w:tabs>
        <w:autoSpaceDE w:val="0"/>
        <w:snapToGrid w:val="0"/>
        <w:spacing w:before="120" w:after="120" w:line="276" w:lineRule="auto"/>
        <w:ind w:left="0" w:firstLine="0"/>
        <w:jc w:val="both"/>
        <w:rPr>
          <w:rFonts w:hint="default" w:ascii="Times New Roman" w:hAnsi="Times New Roman" w:cs="Times New Roman"/>
          <w:sz w:val="20"/>
          <w:szCs w:val="20"/>
          <w:shd w:val="clear" w:color="auto" w:fill="FFFFFF"/>
        </w:rPr>
      </w:pPr>
      <w:r>
        <w:rPr>
          <w:rFonts w:hint="default" w:ascii="Times New Roman" w:hAnsi="Times New Roman" w:cs="Times New Roman"/>
          <w:sz w:val="20"/>
          <w:szCs w:val="20"/>
          <w:shd w:val="clear" w:color="auto" w:fill="FFFFFF"/>
        </w:rPr>
        <w:t>não assinar o termo de contrato ou aceitar/retirar o instrumento equivalente, quando convocado dentro do prazo de validade da proposta;</w:t>
      </w:r>
    </w:p>
    <w:p>
      <w:pPr>
        <w:pStyle w:val="23"/>
        <w:numPr>
          <w:ilvl w:val="2"/>
          <w:numId w:val="2"/>
        </w:numPr>
        <w:ind w:left="0" w:firstLine="0"/>
        <w:rPr>
          <w:rFonts w:hint="default" w:ascii="Times New Roman" w:hAnsi="Times New Roman" w:cs="Times New Roman"/>
          <w:sz w:val="20"/>
          <w:szCs w:val="20"/>
          <w:shd w:val="clear" w:color="auto" w:fill="FFFFFF"/>
        </w:rPr>
      </w:pPr>
      <w:r>
        <w:rPr>
          <w:rFonts w:hint="default" w:ascii="Times New Roman" w:hAnsi="Times New Roman" w:cs="Times New Roman"/>
          <w:sz w:val="20"/>
          <w:szCs w:val="20"/>
          <w:shd w:val="clear" w:color="auto" w:fill="FFFFFF"/>
        </w:rPr>
        <w:t>não assinar a ata de registro de preços, quando cabível;</w:t>
      </w:r>
    </w:p>
    <w:p>
      <w:pPr>
        <w:numPr>
          <w:ilvl w:val="2"/>
          <w:numId w:val="2"/>
        </w:numPr>
        <w:tabs>
          <w:tab w:val="left" w:pos="1440"/>
        </w:tabs>
        <w:autoSpaceDE w:val="0"/>
        <w:snapToGrid w:val="0"/>
        <w:spacing w:before="120" w:after="120" w:line="276" w:lineRule="auto"/>
        <w:ind w:left="0" w:firstLine="0"/>
        <w:jc w:val="both"/>
        <w:rPr>
          <w:rFonts w:hint="default" w:ascii="Times New Roman" w:hAnsi="Times New Roman" w:cs="Times New Roman"/>
          <w:sz w:val="20"/>
          <w:szCs w:val="20"/>
          <w:shd w:val="clear" w:color="auto" w:fill="FFFFFF"/>
        </w:rPr>
      </w:pPr>
      <w:r>
        <w:rPr>
          <w:rFonts w:hint="default" w:ascii="Times New Roman" w:hAnsi="Times New Roman" w:cs="Times New Roman"/>
          <w:sz w:val="20"/>
          <w:szCs w:val="20"/>
          <w:shd w:val="clear" w:color="auto" w:fill="FFFFFF"/>
        </w:rPr>
        <w:t>apresentar documentação falsa;</w:t>
      </w:r>
    </w:p>
    <w:p>
      <w:pPr>
        <w:numPr>
          <w:ilvl w:val="2"/>
          <w:numId w:val="2"/>
        </w:numPr>
        <w:tabs>
          <w:tab w:val="left" w:pos="1440"/>
        </w:tabs>
        <w:autoSpaceDE w:val="0"/>
        <w:snapToGrid w:val="0"/>
        <w:spacing w:before="120" w:after="120" w:line="276" w:lineRule="auto"/>
        <w:ind w:left="0" w:firstLine="0"/>
        <w:jc w:val="both"/>
        <w:rPr>
          <w:rFonts w:hint="default" w:ascii="Times New Roman" w:hAnsi="Times New Roman" w:cs="Times New Roman"/>
          <w:sz w:val="20"/>
          <w:szCs w:val="20"/>
          <w:shd w:val="clear" w:color="auto" w:fill="FFFFFF"/>
        </w:rPr>
      </w:pPr>
      <w:r>
        <w:rPr>
          <w:rFonts w:hint="default" w:ascii="Times New Roman" w:hAnsi="Times New Roman" w:cs="Times New Roman"/>
          <w:sz w:val="20"/>
          <w:szCs w:val="20"/>
          <w:shd w:val="clear" w:color="auto" w:fill="FFFFFF"/>
        </w:rPr>
        <w:t>deixar de entregar os documentos exigidos no certame;</w:t>
      </w:r>
    </w:p>
    <w:p>
      <w:pPr>
        <w:numPr>
          <w:ilvl w:val="2"/>
          <w:numId w:val="2"/>
        </w:numPr>
        <w:tabs>
          <w:tab w:val="left" w:pos="1440"/>
        </w:tabs>
        <w:autoSpaceDE w:val="0"/>
        <w:snapToGrid w:val="0"/>
        <w:spacing w:before="120" w:after="120" w:line="276" w:lineRule="auto"/>
        <w:ind w:left="0" w:firstLine="0"/>
        <w:jc w:val="both"/>
        <w:rPr>
          <w:rFonts w:hint="default" w:ascii="Times New Roman" w:hAnsi="Times New Roman" w:cs="Times New Roman"/>
          <w:sz w:val="20"/>
          <w:szCs w:val="20"/>
          <w:shd w:val="clear" w:color="auto" w:fill="FFFFFF"/>
        </w:rPr>
      </w:pPr>
      <w:r>
        <w:rPr>
          <w:rFonts w:hint="default" w:ascii="Times New Roman" w:hAnsi="Times New Roman" w:cs="Times New Roman"/>
          <w:sz w:val="20"/>
          <w:szCs w:val="20"/>
        </w:rPr>
        <w:t>ensejar o retardamento da execução do objeto;</w:t>
      </w:r>
    </w:p>
    <w:p>
      <w:pPr>
        <w:numPr>
          <w:ilvl w:val="2"/>
          <w:numId w:val="2"/>
        </w:numPr>
        <w:tabs>
          <w:tab w:val="left" w:pos="1440"/>
        </w:tabs>
        <w:autoSpaceDE w:val="0"/>
        <w:snapToGrid w:val="0"/>
        <w:spacing w:before="120" w:after="120" w:line="276" w:lineRule="auto"/>
        <w:ind w:left="0" w:firstLine="0"/>
        <w:jc w:val="both"/>
        <w:rPr>
          <w:rFonts w:hint="default" w:ascii="Times New Roman" w:hAnsi="Times New Roman" w:cs="Times New Roman"/>
          <w:sz w:val="20"/>
          <w:szCs w:val="20"/>
          <w:shd w:val="clear" w:color="auto" w:fill="FFFFFF"/>
        </w:rPr>
      </w:pPr>
      <w:r>
        <w:rPr>
          <w:rFonts w:hint="default" w:ascii="Times New Roman" w:hAnsi="Times New Roman" w:cs="Times New Roman"/>
          <w:sz w:val="20"/>
          <w:szCs w:val="20"/>
          <w:shd w:val="clear" w:color="auto" w:fill="FFFFFF"/>
        </w:rPr>
        <w:t>não mantiver a proposta;</w:t>
      </w:r>
    </w:p>
    <w:p>
      <w:pPr>
        <w:numPr>
          <w:ilvl w:val="2"/>
          <w:numId w:val="2"/>
        </w:numPr>
        <w:tabs>
          <w:tab w:val="left" w:pos="1440"/>
        </w:tabs>
        <w:autoSpaceDE w:val="0"/>
        <w:snapToGrid w:val="0"/>
        <w:spacing w:before="120" w:after="120" w:line="276" w:lineRule="auto"/>
        <w:ind w:left="0" w:firstLine="0"/>
        <w:jc w:val="both"/>
        <w:rPr>
          <w:rFonts w:hint="default" w:ascii="Times New Roman" w:hAnsi="Times New Roman" w:cs="Times New Roman"/>
          <w:sz w:val="20"/>
          <w:szCs w:val="20"/>
          <w:shd w:val="clear" w:color="auto" w:fill="FFFFFF"/>
        </w:rPr>
      </w:pPr>
      <w:r>
        <w:rPr>
          <w:rFonts w:hint="default" w:ascii="Times New Roman" w:hAnsi="Times New Roman" w:cs="Times New Roman"/>
          <w:sz w:val="20"/>
          <w:szCs w:val="20"/>
          <w:shd w:val="clear" w:color="auto" w:fill="FFFFFF"/>
        </w:rPr>
        <w:t>cometer fraude fiscal;</w:t>
      </w:r>
    </w:p>
    <w:p>
      <w:pPr>
        <w:numPr>
          <w:ilvl w:val="2"/>
          <w:numId w:val="2"/>
        </w:numPr>
        <w:tabs>
          <w:tab w:val="left" w:pos="1440"/>
        </w:tabs>
        <w:autoSpaceDE w:val="0"/>
        <w:snapToGrid w:val="0"/>
        <w:spacing w:before="120" w:after="120" w:line="276" w:lineRule="auto"/>
        <w:ind w:left="0" w:firstLine="0"/>
        <w:jc w:val="both"/>
        <w:rPr>
          <w:rFonts w:hint="default" w:ascii="Times New Roman" w:hAnsi="Times New Roman" w:cs="Times New Roman"/>
          <w:sz w:val="20"/>
          <w:szCs w:val="20"/>
          <w:shd w:val="clear" w:color="auto" w:fill="FFFFFF"/>
        </w:rPr>
      </w:pPr>
      <w:r>
        <w:rPr>
          <w:rFonts w:hint="default" w:ascii="Times New Roman" w:hAnsi="Times New Roman" w:cs="Times New Roman"/>
          <w:sz w:val="20"/>
          <w:szCs w:val="20"/>
          <w:shd w:val="clear" w:color="auto" w:fill="FFFFFF"/>
        </w:rPr>
        <w:t>comportar-se de modo inidôneo;</w:t>
      </w:r>
    </w:p>
    <w:p>
      <w:pPr>
        <w:numPr>
          <w:ilvl w:val="1"/>
          <w:numId w:val="12"/>
        </w:numPr>
        <w:spacing w:before="120" w:after="120" w:line="276" w:lineRule="auto"/>
        <w:ind w:left="0" w:firstLine="0"/>
        <w:jc w:val="both"/>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 xml:space="preserve">As sanções do item acima também se aplicam aos integrantes do cadastro de reserva, em pregão para registro de preços que, convocados, não honrarem o compromisso assumido injustificadamente. </w:t>
      </w:r>
    </w:p>
    <w:p>
      <w:pPr>
        <w:pStyle w:val="23"/>
        <w:numPr>
          <w:ilvl w:val="1"/>
          <w:numId w:val="12"/>
        </w:numPr>
        <w:spacing w:before="120" w:after="120" w:line="276" w:lineRule="auto"/>
        <w:ind w:left="0" w:firstLine="0"/>
        <w:jc w:val="both"/>
        <w:rPr>
          <w:rFonts w:hint="default" w:ascii="Times New Roman" w:hAnsi="Times New Roman" w:cs="Times New Roman"/>
          <w:sz w:val="20"/>
          <w:szCs w:val="20"/>
          <w:shd w:val="clear" w:color="auto" w:fill="FFFFFF"/>
        </w:rPr>
      </w:pPr>
      <w:r>
        <w:rPr>
          <w:rFonts w:hint="default" w:ascii="Times New Roman" w:hAnsi="Times New Roman" w:cs="Times New Roman"/>
          <w:sz w:val="20"/>
          <w:szCs w:val="20"/>
          <w:shd w:val="clear" w:color="auto" w:fill="FFFFFF"/>
        </w:rPr>
        <w:t>Considera-se comportamento inidôneo, entre outros, a declaração falsa quanto às condições de participação, quanto ao enquadramento como ME/EPP ou o conluio entre os licitantes, em qualquer momento da licitação, mesmo após o encerramento da fase de lances.</w:t>
      </w:r>
    </w:p>
    <w:p>
      <w:pPr>
        <w:pStyle w:val="23"/>
        <w:numPr>
          <w:ilvl w:val="1"/>
          <w:numId w:val="12"/>
        </w:numPr>
        <w:spacing w:before="120" w:after="120" w:line="276" w:lineRule="auto"/>
        <w:ind w:left="0" w:firstLine="0"/>
        <w:jc w:val="both"/>
        <w:rPr>
          <w:rFonts w:hint="default" w:ascii="Times New Roman" w:hAnsi="Times New Roman" w:cs="Times New Roman"/>
          <w:sz w:val="20"/>
          <w:szCs w:val="20"/>
          <w:shd w:val="clear" w:color="auto" w:fill="FFFFFF"/>
        </w:rPr>
      </w:pPr>
      <w:r>
        <w:rPr>
          <w:rFonts w:hint="default" w:ascii="Times New Roman" w:hAnsi="Times New Roman" w:cs="Times New Roman"/>
          <w:sz w:val="20"/>
          <w:szCs w:val="20"/>
          <w:shd w:val="clear" w:color="auto" w:fill="FFFFFF"/>
        </w:rPr>
        <w:t xml:space="preserve">O licitante/adjudicatário que cometer qualquer das infrações discriminadas nos subitens anteriores ficará sujeito, sem prejuízo da responsabilidade civil e criminal, às seguintes sanções: </w:t>
      </w:r>
    </w:p>
    <w:p>
      <w:pPr>
        <w:pStyle w:val="23"/>
        <w:numPr>
          <w:ilvl w:val="2"/>
          <w:numId w:val="12"/>
        </w:numPr>
        <w:spacing w:before="120" w:after="120" w:line="276" w:lineRule="auto"/>
        <w:ind w:left="0" w:firstLine="0"/>
        <w:jc w:val="both"/>
        <w:rPr>
          <w:rFonts w:hint="default" w:ascii="Times New Roman" w:hAnsi="Times New Roman" w:cs="Times New Roman"/>
          <w:sz w:val="20"/>
          <w:szCs w:val="20"/>
          <w:shd w:val="clear" w:color="auto" w:fill="FFFFFF"/>
        </w:rPr>
      </w:pPr>
      <w:r>
        <w:rPr>
          <w:rFonts w:hint="default" w:ascii="Times New Roman" w:hAnsi="Times New Roman" w:cs="Times New Roman"/>
          <w:sz w:val="20"/>
          <w:szCs w:val="20"/>
          <w:shd w:val="clear" w:color="auto" w:fill="FFFFFF"/>
        </w:rPr>
        <w:t>Advertência por faltas leves, assim entendidas como aquelas que não acarretarem prejuízos significativos ao objeto da contratação;</w:t>
      </w:r>
    </w:p>
    <w:p>
      <w:pPr>
        <w:pStyle w:val="23"/>
        <w:numPr>
          <w:ilvl w:val="2"/>
          <w:numId w:val="12"/>
        </w:numPr>
        <w:spacing w:before="120" w:after="120" w:line="276" w:lineRule="auto"/>
        <w:ind w:left="0" w:firstLine="0"/>
        <w:jc w:val="both"/>
        <w:rPr>
          <w:rFonts w:hint="default" w:ascii="Times New Roman" w:hAnsi="Times New Roman" w:cs="Times New Roman"/>
          <w:sz w:val="20"/>
          <w:szCs w:val="20"/>
          <w:shd w:val="clear" w:color="auto" w:fill="FFFFFF"/>
        </w:rPr>
      </w:pPr>
      <w:r>
        <w:rPr>
          <w:rFonts w:hint="default" w:ascii="Times New Roman" w:hAnsi="Times New Roman" w:cs="Times New Roman"/>
          <w:sz w:val="20"/>
          <w:szCs w:val="20"/>
          <w:shd w:val="clear" w:color="auto" w:fill="FFFFFF"/>
        </w:rPr>
        <w:t>Multa de 10% (dez por cento) sobre o valor estimado do(s) item(s) prejudicado(s) pela conduta do licitante;</w:t>
      </w:r>
    </w:p>
    <w:p>
      <w:pPr>
        <w:pStyle w:val="23"/>
        <w:numPr>
          <w:ilvl w:val="2"/>
          <w:numId w:val="12"/>
        </w:numPr>
        <w:spacing w:before="120" w:after="120" w:line="276" w:lineRule="auto"/>
        <w:ind w:left="0" w:firstLine="0"/>
        <w:jc w:val="both"/>
        <w:rPr>
          <w:rFonts w:hint="default" w:ascii="Times New Roman" w:hAnsi="Times New Roman" w:cs="Times New Roman"/>
          <w:sz w:val="20"/>
          <w:szCs w:val="20"/>
          <w:shd w:val="clear" w:color="auto" w:fill="FFFFFF"/>
        </w:rPr>
      </w:pPr>
      <w:r>
        <w:rPr>
          <w:rFonts w:hint="default" w:ascii="Times New Roman" w:hAnsi="Times New Roman" w:cs="Times New Roman"/>
          <w:sz w:val="20"/>
          <w:szCs w:val="20"/>
          <w:shd w:val="clear" w:color="auto" w:fill="FFFFFF"/>
        </w:rPr>
        <w:t>Suspensão de licitar e impedimento de contratar com o órgão, entidade ou unidade administrativa pela qual a Administração Pública opera e atua concretamente, pelo prazo de até dois anos;</w:t>
      </w:r>
    </w:p>
    <w:p>
      <w:pPr>
        <w:pStyle w:val="23"/>
        <w:numPr>
          <w:ilvl w:val="2"/>
          <w:numId w:val="12"/>
        </w:numPr>
        <w:spacing w:before="120" w:after="120" w:line="276" w:lineRule="auto"/>
        <w:ind w:left="0" w:firstLine="0"/>
        <w:jc w:val="both"/>
        <w:rPr>
          <w:rFonts w:hint="default" w:ascii="Times New Roman" w:hAnsi="Times New Roman" w:cs="Times New Roman"/>
          <w:sz w:val="20"/>
          <w:szCs w:val="20"/>
          <w:shd w:val="clear" w:color="auto" w:fill="FFFFFF"/>
        </w:rPr>
      </w:pPr>
      <w:r>
        <w:rPr>
          <w:rFonts w:hint="default" w:ascii="Times New Roman" w:hAnsi="Times New Roman" w:cs="Times New Roman"/>
          <w:sz w:val="20"/>
          <w:szCs w:val="20"/>
          <w:shd w:val="clear" w:color="auto" w:fill="FFFFFF"/>
        </w:rPr>
        <w:t>Impedimento de licitar e de contratar com a União e descredenciamento no SICAF, pelo prazo de até cinco anos;</w:t>
      </w:r>
    </w:p>
    <w:p>
      <w:pPr>
        <w:pStyle w:val="23"/>
        <w:numPr>
          <w:ilvl w:val="1"/>
          <w:numId w:val="12"/>
        </w:numPr>
        <w:spacing w:before="120" w:after="120" w:line="276" w:lineRule="auto"/>
        <w:ind w:left="0" w:firstLine="0"/>
        <w:jc w:val="both"/>
        <w:rPr>
          <w:rFonts w:hint="default" w:ascii="Times New Roman" w:hAnsi="Times New Roman" w:cs="Times New Roman"/>
          <w:sz w:val="20"/>
          <w:szCs w:val="20"/>
          <w:shd w:val="clear" w:color="auto" w:fill="FFFFFF"/>
        </w:rPr>
      </w:pPr>
      <w:r>
        <w:rPr>
          <w:rFonts w:hint="default" w:ascii="Times New Roman" w:hAnsi="Times New Roman" w:cs="Times New Roman"/>
          <w:sz w:val="20"/>
          <w:szCs w:val="20"/>
          <w:shd w:val="clear" w:color="auto" w:fill="FFFFFF"/>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p>
    <w:p>
      <w:pPr>
        <w:pStyle w:val="23"/>
        <w:numPr>
          <w:ilvl w:val="1"/>
          <w:numId w:val="12"/>
        </w:numPr>
        <w:spacing w:before="120" w:after="120" w:line="276" w:lineRule="auto"/>
        <w:ind w:left="0" w:firstLine="0"/>
        <w:jc w:val="both"/>
        <w:rPr>
          <w:rFonts w:hint="default" w:ascii="Times New Roman" w:hAnsi="Times New Roman" w:cs="Times New Roman"/>
          <w:sz w:val="20"/>
          <w:szCs w:val="20"/>
          <w:shd w:val="clear" w:color="auto" w:fill="FFFFFF"/>
        </w:rPr>
      </w:pPr>
      <w:r>
        <w:rPr>
          <w:rFonts w:hint="default" w:ascii="Times New Roman" w:hAnsi="Times New Roman" w:cs="Times New Roman"/>
          <w:sz w:val="20"/>
          <w:szCs w:val="20"/>
          <w:shd w:val="clear" w:color="auto" w:fill="FFFFFF"/>
        </w:rPr>
        <w:t>A penalidade de multa pode ser aplicada cumulativamente com as demais sanções.</w:t>
      </w:r>
    </w:p>
    <w:p>
      <w:pPr>
        <w:pStyle w:val="23"/>
        <w:numPr>
          <w:ilvl w:val="1"/>
          <w:numId w:val="12"/>
        </w:numPr>
        <w:spacing w:before="120" w:after="120" w:line="276" w:lineRule="auto"/>
        <w:ind w:left="0" w:firstLine="0"/>
        <w:jc w:val="both"/>
        <w:rPr>
          <w:rFonts w:hint="default" w:ascii="Times New Roman" w:hAnsi="Times New Roman" w:cs="Times New Roman"/>
          <w:sz w:val="20"/>
          <w:szCs w:val="20"/>
          <w:shd w:val="clear" w:color="auto" w:fill="FFFFFF"/>
        </w:rPr>
      </w:pPr>
      <w:r>
        <w:rPr>
          <w:rFonts w:hint="default" w:ascii="Times New Roman" w:hAnsi="Times New Roman" w:cs="Times New Roman"/>
          <w:sz w:val="20"/>
          <w:szCs w:val="20"/>
          <w:shd w:val="clear" w:color="auto" w:fill="FFFFFF"/>
        </w:rPr>
        <w:t xml:space="preserve">Se, durante o processo de aplicação de penalidade, se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23"/>
        <w:numPr>
          <w:ilvl w:val="1"/>
          <w:numId w:val="12"/>
        </w:numPr>
        <w:spacing w:before="120" w:after="120" w:line="276" w:lineRule="auto"/>
        <w:ind w:left="0" w:firstLine="0"/>
        <w:jc w:val="both"/>
        <w:rPr>
          <w:rFonts w:hint="default" w:ascii="Times New Roman" w:hAnsi="Times New Roman" w:cs="Times New Roman"/>
          <w:sz w:val="20"/>
          <w:szCs w:val="20"/>
          <w:shd w:val="clear" w:color="auto" w:fill="FFFFFF"/>
        </w:rPr>
      </w:pPr>
      <w:r>
        <w:rPr>
          <w:rFonts w:hint="default" w:ascii="Times New Roman" w:hAnsi="Times New Roman" w:cs="Times New Roman"/>
          <w:sz w:val="20"/>
          <w:szCs w:val="20"/>
          <w:shd w:val="clear" w:color="auto" w:fill="FFFFFF"/>
        </w:rPr>
        <w:t xml:space="preserve">A apuração e o julgamento das demais infrações administrativas não consideradas como ato lesivo à Administração Pública nacional ou estrangeira nos termos da Lei nº 12.846, de 1º de agosto de 2013, seguirão seu rito normal na unidade administrativa. </w:t>
      </w:r>
    </w:p>
    <w:p>
      <w:pPr>
        <w:pStyle w:val="23"/>
        <w:numPr>
          <w:ilvl w:val="1"/>
          <w:numId w:val="12"/>
        </w:numPr>
        <w:spacing w:before="120" w:after="120" w:line="276" w:lineRule="auto"/>
        <w:ind w:left="0" w:firstLine="0"/>
        <w:jc w:val="both"/>
        <w:rPr>
          <w:rFonts w:hint="default" w:ascii="Times New Roman" w:hAnsi="Times New Roman" w:cs="Times New Roman"/>
          <w:sz w:val="20"/>
          <w:szCs w:val="20"/>
          <w:shd w:val="clear" w:color="auto" w:fill="FFFFFF"/>
        </w:rPr>
      </w:pPr>
      <w:r>
        <w:rPr>
          <w:rFonts w:hint="default" w:ascii="Times New Roman" w:hAnsi="Times New Roman" w:cs="Times New Roman"/>
          <w:sz w:val="20"/>
          <w:szCs w:val="20"/>
          <w:shd w:val="clear" w:color="auto" w:fill="FFFFFF"/>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23"/>
        <w:numPr>
          <w:ilvl w:val="1"/>
          <w:numId w:val="12"/>
        </w:numPr>
        <w:spacing w:before="120" w:after="120" w:line="276" w:lineRule="auto"/>
        <w:ind w:left="0" w:firstLine="0"/>
        <w:jc w:val="both"/>
        <w:rPr>
          <w:rFonts w:hint="default" w:ascii="Times New Roman" w:hAnsi="Times New Roman" w:cs="Times New Roman"/>
          <w:sz w:val="20"/>
          <w:szCs w:val="20"/>
          <w:shd w:val="clear" w:color="auto" w:fill="FFFFFF"/>
        </w:rPr>
      </w:pPr>
      <w:r>
        <w:rPr>
          <w:rFonts w:hint="default" w:ascii="Times New Roman" w:hAnsi="Times New Roman" w:cs="Times New Roman"/>
          <w:sz w:val="20"/>
          <w:szCs w:val="20"/>
          <w:shd w:val="clear" w:color="auto" w:fill="FFFFFF"/>
        </w:rPr>
        <w:t>Caso o valor da multa não seja suficiente para cobrir os prejuízos causados pela conduta do licitante, a União ou Entidade poderá cobrar o valor remanescente judicialmente, conforme artigo 419 do Código Civil.</w:t>
      </w:r>
    </w:p>
    <w:p>
      <w:pPr>
        <w:pStyle w:val="23"/>
        <w:numPr>
          <w:ilvl w:val="1"/>
          <w:numId w:val="12"/>
        </w:numPr>
        <w:spacing w:before="120" w:after="120" w:line="276" w:lineRule="auto"/>
        <w:ind w:left="0" w:firstLine="0"/>
        <w:jc w:val="both"/>
        <w:rPr>
          <w:rFonts w:hint="default" w:ascii="Times New Roman" w:hAnsi="Times New Roman" w:cs="Times New Roman"/>
          <w:sz w:val="20"/>
          <w:szCs w:val="20"/>
          <w:shd w:val="clear" w:color="auto" w:fill="FFFFFF"/>
        </w:rPr>
      </w:pPr>
      <w:r>
        <w:rPr>
          <w:rFonts w:hint="default" w:ascii="Times New Roman" w:hAnsi="Times New Roman" w:cs="Times New Roman"/>
          <w:sz w:val="20"/>
          <w:szCs w:val="20"/>
          <w:shd w:val="clear" w:color="auto" w:fill="FFFFFF"/>
        </w:rPr>
        <w:t>A aplicação de qualquer das penalidades previstas realizar-se-á em processo administrativo que assegurará o contraditório e a ampla defesa ao licitante/adjudicatário, observando-se o procedimento previsto na Lei nº 8.666, de 1993, e subsidiariamente na Lei nº 9.784, de 1999.</w:t>
      </w:r>
    </w:p>
    <w:p>
      <w:pPr>
        <w:pStyle w:val="23"/>
        <w:numPr>
          <w:ilvl w:val="1"/>
          <w:numId w:val="12"/>
        </w:numPr>
        <w:spacing w:before="120" w:after="120" w:line="276" w:lineRule="auto"/>
        <w:ind w:left="0" w:firstLine="0"/>
        <w:jc w:val="both"/>
        <w:rPr>
          <w:rFonts w:hint="default" w:ascii="Times New Roman" w:hAnsi="Times New Roman" w:cs="Times New Roman"/>
          <w:sz w:val="20"/>
          <w:szCs w:val="20"/>
          <w:shd w:val="clear" w:color="auto" w:fill="FFFFFF"/>
        </w:rPr>
      </w:pPr>
      <w:r>
        <w:rPr>
          <w:rFonts w:hint="default" w:ascii="Times New Roman" w:hAnsi="Times New Roman" w:cs="Times New Roman"/>
          <w:sz w:val="20"/>
          <w:szCs w:val="20"/>
          <w:shd w:val="clear" w:color="auto" w:fill="FFFFFF"/>
        </w:rPr>
        <w:t>A autoridade competente, na aplicação das sanções, levará em consideração a gravidade da conduta do infrator, o caráter educativo da pena, bem como o dano causado à Administração, observado o princípio da proporcionalidade.</w:t>
      </w:r>
    </w:p>
    <w:p>
      <w:pPr>
        <w:pStyle w:val="23"/>
        <w:numPr>
          <w:ilvl w:val="1"/>
          <w:numId w:val="12"/>
        </w:numPr>
        <w:spacing w:before="120" w:after="120" w:line="276" w:lineRule="auto"/>
        <w:ind w:left="0" w:firstLine="0"/>
        <w:jc w:val="both"/>
        <w:rPr>
          <w:rFonts w:hint="default" w:ascii="Times New Roman" w:hAnsi="Times New Roman" w:cs="Times New Roman"/>
          <w:sz w:val="20"/>
          <w:szCs w:val="20"/>
          <w:shd w:val="clear" w:color="auto" w:fill="FFFFFF"/>
        </w:rPr>
      </w:pPr>
      <w:r>
        <w:rPr>
          <w:rFonts w:hint="default" w:ascii="Times New Roman" w:hAnsi="Times New Roman" w:cs="Times New Roman"/>
          <w:sz w:val="20"/>
          <w:szCs w:val="20"/>
          <w:shd w:val="clear" w:color="auto" w:fill="FFFFFF"/>
        </w:rPr>
        <w:t>As penalidades serão obrigatoriamente registradas no SICAF.</w:t>
      </w:r>
    </w:p>
    <w:p>
      <w:pPr>
        <w:pStyle w:val="23"/>
        <w:numPr>
          <w:ilvl w:val="1"/>
          <w:numId w:val="12"/>
        </w:numPr>
        <w:spacing w:before="120" w:after="120" w:line="276" w:lineRule="auto"/>
        <w:ind w:left="0" w:firstLine="0"/>
        <w:jc w:val="both"/>
        <w:rPr>
          <w:rFonts w:hint="default" w:ascii="Times New Roman" w:hAnsi="Times New Roman" w:cs="Times New Roman"/>
          <w:sz w:val="20"/>
          <w:szCs w:val="20"/>
          <w:shd w:val="clear" w:color="auto" w:fill="FFFFFF"/>
        </w:rPr>
      </w:pPr>
      <w:r>
        <w:rPr>
          <w:rFonts w:hint="default" w:ascii="Times New Roman" w:hAnsi="Times New Roman" w:cs="Times New Roman"/>
          <w:sz w:val="20"/>
          <w:szCs w:val="20"/>
          <w:shd w:val="clear" w:color="auto" w:fill="FFFFFF"/>
        </w:rPr>
        <w:t>As sanções por atos praticados no decorrer da contratação estão previstas no Termo de Referência.</w:t>
      </w:r>
    </w:p>
    <w:p>
      <w:pPr>
        <w:pStyle w:val="23"/>
        <w:numPr>
          <w:ilvl w:val="1"/>
          <w:numId w:val="12"/>
        </w:numPr>
        <w:tabs>
          <w:tab w:val="left" w:pos="567"/>
        </w:tabs>
        <w:spacing w:before="120" w:after="120" w:line="276" w:lineRule="auto"/>
        <w:ind w:left="0" w:firstLine="0"/>
        <w:jc w:val="both"/>
        <w:rPr>
          <w:rFonts w:hint="default" w:ascii="Times New Roman" w:hAnsi="Times New Roman" w:cs="Times New Roman"/>
          <w:sz w:val="20"/>
          <w:szCs w:val="20"/>
          <w:shd w:val="clear" w:color="auto" w:fill="FFFFFF"/>
        </w:rPr>
      </w:pPr>
      <w:r>
        <w:rPr>
          <w:rFonts w:hint="default" w:ascii="Times New Roman" w:hAnsi="Times New Roman" w:cs="Times New Roman"/>
          <w:sz w:val="20"/>
          <w:szCs w:val="20"/>
          <w:shd w:val="clear" w:color="auto" w:fill="FFFFFF"/>
        </w:rPr>
        <w:t>O CISMIV adotará rito similar ao adotado pela União para a instauração de Processo Administrativo de Responsabilização – PAR, podendo editar normas especificas sobre a matéria.</w:t>
      </w:r>
    </w:p>
    <w:p>
      <w:pPr>
        <w:pStyle w:val="38"/>
        <w:numPr>
          <w:ilvl w:val="0"/>
          <w:numId w:val="2"/>
        </w:numPr>
        <w:ind w:left="0" w:firstLine="0"/>
        <w:rPr>
          <w:rFonts w:hint="default" w:ascii="Times New Roman" w:hAnsi="Times New Roman" w:cs="Times New Roman"/>
          <w:color w:val="auto"/>
        </w:rPr>
      </w:pPr>
      <w:r>
        <w:rPr>
          <w:rFonts w:hint="default" w:ascii="Times New Roman" w:hAnsi="Times New Roman" w:cs="Times New Roman"/>
          <w:color w:val="auto"/>
        </w:rPr>
        <w:t xml:space="preserve">DA FORMAÇÃO DO CADASTRO DE RESERVA </w:t>
      </w:r>
    </w:p>
    <w:p>
      <w:pPr>
        <w:pStyle w:val="23"/>
        <w:numPr>
          <w:ilvl w:val="1"/>
          <w:numId w:val="13"/>
        </w:numPr>
        <w:tabs>
          <w:tab w:val="left" w:pos="567"/>
        </w:tabs>
        <w:spacing w:before="120" w:after="120" w:line="276" w:lineRule="auto"/>
        <w:ind w:left="0" w:firstLine="0"/>
        <w:jc w:val="both"/>
        <w:rPr>
          <w:rFonts w:hint="default" w:ascii="Times New Roman" w:hAnsi="Times New Roman" w:cs="Times New Roman"/>
          <w:sz w:val="20"/>
          <w:szCs w:val="20"/>
        </w:rPr>
      </w:pPr>
      <w:r>
        <w:rPr>
          <w:rFonts w:hint="default" w:ascii="Times New Roman" w:hAnsi="Times New Roman" w:cs="Times New Roman"/>
          <w:sz w:val="20"/>
          <w:szCs w:val="20"/>
        </w:rPr>
        <w:t>Após o encerramento da etapa competitiva, os licitantes poderão reduzir seus preços ao valor da proposta do licitante mais bem classificado.</w:t>
      </w:r>
    </w:p>
    <w:p>
      <w:pPr>
        <w:numPr>
          <w:ilvl w:val="1"/>
          <w:numId w:val="13"/>
        </w:numPr>
        <w:tabs>
          <w:tab w:val="left" w:pos="567"/>
        </w:tabs>
        <w:spacing w:before="120" w:after="120" w:line="276" w:lineRule="auto"/>
        <w:ind w:left="0" w:firstLine="0"/>
        <w:jc w:val="both"/>
        <w:rPr>
          <w:rFonts w:hint="default" w:ascii="Times New Roman" w:hAnsi="Times New Roman" w:cs="Times New Roman"/>
          <w:sz w:val="20"/>
          <w:szCs w:val="20"/>
        </w:rPr>
      </w:pPr>
      <w:r>
        <w:rPr>
          <w:rFonts w:hint="default" w:ascii="Times New Roman" w:hAnsi="Times New Roman" w:cs="Times New Roman"/>
          <w:sz w:val="20"/>
          <w:szCs w:val="20"/>
        </w:rPr>
        <w:t>A apresentação de novas propostas na forma deste item não prejudicará o resultado do certame em relação ao licitante melhor classificado.</w:t>
      </w:r>
    </w:p>
    <w:p>
      <w:pPr>
        <w:numPr>
          <w:ilvl w:val="1"/>
          <w:numId w:val="13"/>
        </w:numPr>
        <w:tabs>
          <w:tab w:val="left" w:pos="567"/>
        </w:tabs>
        <w:spacing w:before="120" w:after="120" w:line="276" w:lineRule="auto"/>
        <w:ind w:left="0" w:firstLine="0"/>
        <w:jc w:val="both"/>
        <w:rPr>
          <w:rFonts w:hint="default" w:ascii="Times New Roman" w:hAnsi="Times New Roman" w:cs="Times New Roman"/>
          <w:sz w:val="20"/>
          <w:szCs w:val="20"/>
        </w:rPr>
      </w:pPr>
      <w:r>
        <w:rPr>
          <w:rFonts w:hint="default" w:ascii="Times New Roman" w:hAnsi="Times New Roman" w:cs="Times New Roman"/>
          <w:sz w:val="20"/>
          <w:szCs w:val="20"/>
        </w:rPr>
        <w:t>Havendo um ou mais licitantes que aceitem cotar suas propostas em valor igual ao do licitante vencedor, estes serão classificados segundo a ordem da última proposta individual apresentada durante a fase competitiva.</w:t>
      </w:r>
    </w:p>
    <w:p>
      <w:pPr>
        <w:numPr>
          <w:ilvl w:val="1"/>
          <w:numId w:val="13"/>
        </w:numPr>
        <w:spacing w:before="120" w:after="120" w:line="276" w:lineRule="auto"/>
        <w:ind w:left="0" w:firstLine="0"/>
        <w:jc w:val="both"/>
        <w:rPr>
          <w:rFonts w:hint="default" w:ascii="Times New Roman" w:hAnsi="Times New Roman" w:cs="Times New Roman"/>
          <w:color w:val="000000"/>
          <w:sz w:val="20"/>
          <w:szCs w:val="20"/>
        </w:rPr>
      </w:pPr>
      <w:r>
        <w:rPr>
          <w:rFonts w:hint="default" w:ascii="Times New Roman" w:hAnsi="Times New Roman" w:cs="Times New Roman"/>
          <w:sz w:val="20"/>
          <w:szCs w:val="20"/>
        </w:rPr>
        <w:t>Esta ordem de classificação dos licitantes registrados deverá ser respeitada nas contratações e somente será utilizada acaso o melhor colocado no certame não assine a ata ou tenha seu registro cancelado.</w:t>
      </w:r>
    </w:p>
    <w:p>
      <w:pPr>
        <w:pStyle w:val="38"/>
        <w:numPr>
          <w:ilvl w:val="0"/>
          <w:numId w:val="2"/>
        </w:numPr>
        <w:ind w:left="0" w:firstLine="0"/>
        <w:rPr>
          <w:rFonts w:hint="default" w:ascii="Times New Roman" w:hAnsi="Times New Roman" w:cs="Times New Roman"/>
        </w:rPr>
      </w:pPr>
      <w:r>
        <w:rPr>
          <w:rFonts w:hint="default" w:ascii="Times New Roman" w:hAnsi="Times New Roman" w:cs="Times New Roman"/>
        </w:rPr>
        <w:t>DA IMPUGNAÇÃO AO EDITAL E DO PEDIDO DE ESCLARECIMENTO</w:t>
      </w:r>
    </w:p>
    <w:p>
      <w:pPr>
        <w:pStyle w:val="23"/>
        <w:numPr>
          <w:ilvl w:val="1"/>
          <w:numId w:val="13"/>
        </w:numPr>
        <w:spacing w:before="120" w:after="120" w:line="276" w:lineRule="auto"/>
        <w:ind w:left="0" w:firstLine="0"/>
        <w:jc w:val="both"/>
        <w:rPr>
          <w:rFonts w:hint="default" w:ascii="Times New Roman" w:hAnsi="Times New Roman" w:cs="Times New Roman"/>
          <w:color w:val="000000"/>
          <w:sz w:val="20"/>
          <w:szCs w:val="20"/>
        </w:rPr>
      </w:pPr>
      <w:r>
        <w:rPr>
          <w:rFonts w:hint="default" w:ascii="Times New Roman" w:hAnsi="Times New Roman" w:cs="Times New Roman"/>
          <w:sz w:val="20"/>
          <w:szCs w:val="20"/>
        </w:rPr>
        <w:t xml:space="preserve">Até </w:t>
      </w:r>
      <w:r>
        <w:rPr>
          <w:rFonts w:hint="default" w:ascii="Times New Roman" w:hAnsi="Times New Roman" w:cs="Times New Roman"/>
          <w:color w:val="000000"/>
          <w:sz w:val="20"/>
          <w:szCs w:val="20"/>
        </w:rPr>
        <w:t>03 (três) dias úteis antes da data designada para a abertura da sessão pública, qualquer pessoa poderá impugnar este Edital.</w:t>
      </w:r>
    </w:p>
    <w:p>
      <w:pPr>
        <w:pStyle w:val="23"/>
        <w:numPr>
          <w:ilvl w:val="1"/>
          <w:numId w:val="13"/>
        </w:numPr>
        <w:spacing w:before="120" w:after="120" w:line="276" w:lineRule="auto"/>
        <w:ind w:left="0" w:firstLine="0"/>
        <w:jc w:val="both"/>
        <w:rPr>
          <w:rFonts w:hint="default" w:ascii="Times New Roman" w:hAnsi="Times New Roman" w:cs="Times New Roman"/>
          <w:szCs w:val="20"/>
        </w:rPr>
      </w:pPr>
      <w:r>
        <w:rPr>
          <w:rFonts w:hint="default" w:ascii="Times New Roman" w:hAnsi="Times New Roman" w:cs="Times New Roman"/>
          <w:color w:val="000000"/>
          <w:sz w:val="20"/>
          <w:szCs w:val="20"/>
        </w:rPr>
        <w:t>A impugnação poderá ser realizada por forma eletrônica, pelo e-mail: pregaoeletronico.cismiv@gmail.com</w:t>
      </w:r>
      <w:r>
        <w:rPr>
          <w:rFonts w:hint="default" w:ascii="Times New Roman" w:hAnsi="Times New Roman" w:cs="Times New Roman"/>
          <w:sz w:val="20"/>
          <w:szCs w:val="20"/>
        </w:rPr>
        <w:t>, ou por</w:t>
      </w:r>
      <w:r>
        <w:rPr>
          <w:rFonts w:hint="default" w:ascii="Times New Roman" w:hAnsi="Times New Roman" w:cs="Times New Roman"/>
          <w:color w:val="000000"/>
          <w:sz w:val="20"/>
          <w:szCs w:val="20"/>
        </w:rPr>
        <w:t xml:space="preserve"> petição dirigida ou protocolada (das 08 às 17H em dias úteis de funcionamento do CISMIV) no endereço: Rua José dos Santos, 120, Centro, Viçosa – MG, cep 36570-135, na Seção de Licitações.</w:t>
      </w:r>
    </w:p>
    <w:p>
      <w:pPr>
        <w:pStyle w:val="23"/>
        <w:numPr>
          <w:ilvl w:val="1"/>
          <w:numId w:val="13"/>
        </w:numPr>
        <w:spacing w:before="120" w:after="120" w:line="276" w:lineRule="auto"/>
        <w:ind w:left="0" w:firstLine="0"/>
        <w:jc w:val="both"/>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Caberá a pregoeira, auxiliado pelos responsáveis pela elaboração deste Edital e seus anexos, decidir sobre a impugnação no prazo de até 02 (dois) dias úteis contados da data de recebimento da impugnação.</w:t>
      </w:r>
    </w:p>
    <w:p>
      <w:pPr>
        <w:pStyle w:val="23"/>
        <w:numPr>
          <w:ilvl w:val="1"/>
          <w:numId w:val="13"/>
        </w:numPr>
        <w:spacing w:before="120" w:after="120" w:line="276" w:lineRule="auto"/>
        <w:ind w:left="0" w:firstLine="0"/>
        <w:jc w:val="both"/>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Acolhida a impugnação, será definida e publicada nova data para a realização do certame.</w:t>
      </w:r>
    </w:p>
    <w:p>
      <w:pPr>
        <w:pStyle w:val="23"/>
        <w:numPr>
          <w:ilvl w:val="1"/>
          <w:numId w:val="13"/>
        </w:numPr>
        <w:spacing w:before="120" w:after="120" w:line="276" w:lineRule="auto"/>
        <w:ind w:left="0" w:firstLine="0"/>
        <w:jc w:val="both"/>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Os pedidos de esclarecimentos referentes a este processo licitatório deverão ser enviados a pregoeira exclusivamente para o e-mail: pregaoeletronico.cismiv@gmail.com, até 03 (três) dias úteis anteriores à data designada para abertura da sessão pública</w:t>
      </w:r>
      <w:r>
        <w:rPr>
          <w:rFonts w:hint="default" w:ascii="Times New Roman" w:hAnsi="Times New Roman" w:cs="Times New Roman"/>
          <w:bCs/>
          <w:sz w:val="20"/>
          <w:szCs w:val="20"/>
          <w:lang w:eastAsia="en-US"/>
        </w:rPr>
        <w:t>, no endereço indicado no Edital.</w:t>
      </w:r>
    </w:p>
    <w:p>
      <w:pPr>
        <w:pStyle w:val="23"/>
        <w:spacing w:before="120" w:after="120" w:line="276" w:lineRule="auto"/>
        <w:ind w:left="0"/>
        <w:jc w:val="both"/>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24.5.1 Caso o pedido de esclarecimentos seja recebido fora do período estipulado no item 24.5, o mesmo será registrado como mera informação, não tendo a pregoeira nenhuma obrigação de respondê-lo, podendo inclusive caso a dúvida seja relevante, emitir comunicado sobre a matéria em campo específico de comunicações aos licitantes no Portal de Compras do Governo Federal.</w:t>
      </w:r>
    </w:p>
    <w:p>
      <w:pPr>
        <w:numPr>
          <w:ilvl w:val="1"/>
          <w:numId w:val="13"/>
        </w:numPr>
        <w:tabs>
          <w:tab w:val="left" w:pos="567"/>
        </w:tabs>
        <w:spacing w:before="120" w:after="120" w:line="276" w:lineRule="auto"/>
        <w:ind w:left="0" w:firstLine="0"/>
        <w:jc w:val="both"/>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A pregoeira responderá aos pedidos de esclarecimentos no prazo de 02 (dois) dias úteis, contado da data de recebimento do pedido, e poderá requisitar subsídios formais aos responsáveis pela elaboração do edital e dos anexos.</w:t>
      </w:r>
    </w:p>
    <w:p>
      <w:pPr>
        <w:pStyle w:val="23"/>
        <w:numPr>
          <w:ilvl w:val="1"/>
          <w:numId w:val="13"/>
        </w:numPr>
        <w:tabs>
          <w:tab w:val="left" w:pos="567"/>
        </w:tabs>
        <w:spacing w:before="120" w:after="120" w:line="276" w:lineRule="auto"/>
        <w:ind w:left="0" w:firstLine="0"/>
        <w:jc w:val="both"/>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As impugnações e pedidos de esclarecimentos não suspendem os prazos previstos no certame.</w:t>
      </w:r>
    </w:p>
    <w:p>
      <w:pPr>
        <w:numPr>
          <w:ilvl w:val="2"/>
          <w:numId w:val="13"/>
        </w:numPr>
        <w:tabs>
          <w:tab w:val="left" w:pos="1134"/>
        </w:tabs>
        <w:spacing w:before="120" w:after="120" w:line="276" w:lineRule="auto"/>
        <w:ind w:left="0" w:firstLine="0"/>
        <w:jc w:val="both"/>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A concessão de efeito suspensivo à impugnação é medida excepcional e deverá ser motivada pela pregoeira, nos autos do processo de licitação.</w:t>
      </w:r>
    </w:p>
    <w:p>
      <w:pPr>
        <w:numPr>
          <w:ilvl w:val="1"/>
          <w:numId w:val="13"/>
        </w:numPr>
        <w:spacing w:before="120" w:after="120" w:line="276" w:lineRule="auto"/>
        <w:ind w:left="0" w:firstLine="0"/>
        <w:jc w:val="both"/>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As respostas aos pedidos de esclarecimentos serão divulgadas pelo sistema e vincularão os participantes e a administração.</w:t>
      </w:r>
    </w:p>
    <w:p>
      <w:pPr>
        <w:pStyle w:val="38"/>
        <w:numPr>
          <w:ilvl w:val="0"/>
          <w:numId w:val="2"/>
        </w:numPr>
        <w:tabs>
          <w:tab w:val="left" w:pos="0"/>
          <w:tab w:val="clear" w:pos="567"/>
        </w:tabs>
        <w:ind w:left="0" w:firstLine="0"/>
        <w:rPr>
          <w:rFonts w:hint="default" w:ascii="Times New Roman" w:hAnsi="Times New Roman" w:cs="Times New Roman"/>
        </w:rPr>
      </w:pPr>
      <w:r>
        <w:rPr>
          <w:rFonts w:hint="default" w:ascii="Times New Roman" w:hAnsi="Times New Roman" w:cs="Times New Roman"/>
        </w:rPr>
        <w:t>DAS DISPOSIÇÕES GERAIS</w:t>
      </w:r>
    </w:p>
    <w:p>
      <w:pPr>
        <w:tabs>
          <w:tab w:val="left" w:pos="0"/>
        </w:tabs>
        <w:rPr>
          <w:rFonts w:hint="default" w:ascii="Times New Roman" w:hAnsi="Times New Roman" w:cs="Times New Roman"/>
          <w:sz w:val="20"/>
          <w:szCs w:val="20"/>
        </w:rPr>
      </w:pPr>
    </w:p>
    <w:p>
      <w:pPr>
        <w:numPr>
          <w:ilvl w:val="1"/>
          <w:numId w:val="13"/>
        </w:numPr>
        <w:tabs>
          <w:tab w:val="left" w:pos="0"/>
        </w:tabs>
        <w:spacing w:before="120" w:after="120" w:line="276" w:lineRule="auto"/>
        <w:ind w:left="0" w:firstLine="0"/>
        <w:jc w:val="both"/>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Da sessão pública do Pregão divulgar-se-á Ata no sistema eletrônico.</w:t>
      </w:r>
    </w:p>
    <w:p>
      <w:pPr>
        <w:numPr>
          <w:ilvl w:val="1"/>
          <w:numId w:val="13"/>
        </w:numPr>
        <w:tabs>
          <w:tab w:val="left" w:pos="0"/>
        </w:tabs>
        <w:spacing w:line="276" w:lineRule="auto"/>
        <w:ind w:left="0" w:firstLine="0"/>
        <w:jc w:val="both"/>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pela pregoeira.  </w:t>
      </w:r>
    </w:p>
    <w:p>
      <w:pPr>
        <w:numPr>
          <w:ilvl w:val="1"/>
          <w:numId w:val="13"/>
        </w:numPr>
        <w:tabs>
          <w:tab w:val="left" w:pos="0"/>
        </w:tabs>
        <w:spacing w:line="276" w:lineRule="auto"/>
        <w:ind w:left="0" w:firstLine="0"/>
        <w:jc w:val="both"/>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Todas as referências de tempo no Edital, no aviso e durante a sessão pública observarão o horário de Brasília – DF.</w:t>
      </w:r>
    </w:p>
    <w:p>
      <w:pPr>
        <w:numPr>
          <w:ilvl w:val="1"/>
          <w:numId w:val="13"/>
        </w:numPr>
        <w:tabs>
          <w:tab w:val="left" w:pos="0"/>
        </w:tabs>
        <w:spacing w:line="276" w:lineRule="auto"/>
        <w:ind w:left="0" w:firstLine="0"/>
        <w:jc w:val="both"/>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No julgamento das propostas e da habilitação, a pregoeira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numPr>
          <w:ilvl w:val="1"/>
          <w:numId w:val="13"/>
        </w:numPr>
        <w:tabs>
          <w:tab w:val="left" w:pos="0"/>
        </w:tabs>
        <w:spacing w:line="276" w:lineRule="auto"/>
        <w:ind w:left="0" w:firstLine="0"/>
        <w:jc w:val="both"/>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A homologação do resultado desta licitação não implicará direito à contratação.</w:t>
      </w:r>
    </w:p>
    <w:p>
      <w:pPr>
        <w:numPr>
          <w:ilvl w:val="1"/>
          <w:numId w:val="13"/>
        </w:numPr>
        <w:spacing w:line="276" w:lineRule="auto"/>
        <w:ind w:left="0" w:firstLine="0"/>
        <w:jc w:val="both"/>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pPr>
        <w:numPr>
          <w:ilvl w:val="1"/>
          <w:numId w:val="13"/>
        </w:numPr>
        <w:spacing w:line="276" w:lineRule="auto"/>
        <w:ind w:left="0" w:firstLine="0"/>
        <w:jc w:val="both"/>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pPr>
        <w:numPr>
          <w:ilvl w:val="1"/>
          <w:numId w:val="13"/>
        </w:numPr>
        <w:spacing w:line="276" w:lineRule="auto"/>
        <w:ind w:left="0" w:firstLine="0"/>
        <w:jc w:val="both"/>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Na contagem dos prazos estabelecidos neste Edital e seus Anexos, excluir-se-á o dia do início e incluir-se-á o do vencimento. Só se iniciam e vencem os prazos em dias de expediente na Administração.</w:t>
      </w:r>
    </w:p>
    <w:p>
      <w:pPr>
        <w:numPr>
          <w:ilvl w:val="1"/>
          <w:numId w:val="13"/>
        </w:numPr>
        <w:spacing w:line="276" w:lineRule="auto"/>
        <w:ind w:left="0" w:firstLine="0"/>
        <w:jc w:val="both"/>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O desatendimento de exigências formais não essenciais não importará o afastamento do licitante, desde que seja possível o aproveitamento do ato, observados os princípios da isonomia e do interesse público.</w:t>
      </w:r>
    </w:p>
    <w:p>
      <w:pPr>
        <w:numPr>
          <w:ilvl w:val="1"/>
          <w:numId w:val="13"/>
        </w:numPr>
        <w:spacing w:line="276" w:lineRule="auto"/>
        <w:ind w:left="0" w:firstLine="0"/>
        <w:jc w:val="both"/>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Em caso de divergência entre disposições deste Edital e de seus anexos ou demais peças que compõem o processo, prevalecerá as deste Edital.</w:t>
      </w:r>
    </w:p>
    <w:p>
      <w:pPr>
        <w:numPr>
          <w:ilvl w:val="1"/>
          <w:numId w:val="13"/>
        </w:numPr>
        <w:spacing w:line="276" w:lineRule="auto"/>
        <w:ind w:left="0" w:firstLine="0"/>
        <w:jc w:val="both"/>
        <w:rPr>
          <w:rFonts w:hint="default" w:ascii="Times New Roman" w:hAnsi="Times New Roman" w:cs="Times New Roman"/>
          <w:sz w:val="20"/>
          <w:szCs w:val="20"/>
        </w:rPr>
      </w:pPr>
      <w:r>
        <w:rPr>
          <w:rFonts w:hint="default" w:ascii="Times New Roman" w:hAnsi="Times New Roman" w:cs="Times New Roman"/>
          <w:sz w:val="20"/>
          <w:szCs w:val="20"/>
        </w:rPr>
        <w:t>O Edital está disponibilizado, na íntegra, no endereço eletrônico: http://cismiv.mg.gov.br/, e também poderão ser lidos e/ou obtidos no endereço: Rua José dos Santos, 120, centro, Viçosa – MG, CEP 36570-135, na Seção de Licitações, nos dias úteis, no horário das 08 horas às 17 horas, mesmo endereço e período no qual os autos do processo administrativo permanecerão com vista franqueada aos interessados.</w:t>
      </w:r>
    </w:p>
    <w:p>
      <w:pPr>
        <w:numPr>
          <w:ilvl w:val="1"/>
          <w:numId w:val="13"/>
        </w:numPr>
        <w:spacing w:line="276" w:lineRule="auto"/>
        <w:ind w:left="0" w:firstLine="0"/>
        <w:jc w:val="both"/>
        <w:rPr>
          <w:rFonts w:hint="default" w:ascii="Times New Roman" w:hAnsi="Times New Roman" w:cs="Times New Roman"/>
          <w:b/>
          <w:sz w:val="20"/>
          <w:szCs w:val="20"/>
          <w:u w:val="single"/>
        </w:rPr>
      </w:pPr>
      <w:bookmarkStart w:id="7" w:name="_Hlk51912932"/>
      <w:r>
        <w:rPr>
          <w:rFonts w:hint="default" w:ascii="Times New Roman" w:hAnsi="Times New Roman" w:cs="Times New Roman"/>
          <w:sz w:val="20"/>
          <w:szCs w:val="20"/>
        </w:rPr>
        <w:t>É dever do Licitante acompanhar a sessão pública durante toda a sua execução, portanto nas hipóteses em que o Pregoeiro iniciar conversa com licitante para tratar de assuntos referentes à tramitação da Sessão Pública no Chat Oficial do Portal de Compras do Governo Federal, será concedido ao licitante o prazo de até 05 (cinco) minutos para resposta, a ausência de manifestação de resposta do licitante no respectivo Chat importará na decadência de seu direito e na presunção de desinteresse, estando sujeito a desclassificação parcial ou integral de sua Proposta e Habilitação</w:t>
      </w:r>
      <w:bookmarkEnd w:id="7"/>
      <w:r>
        <w:rPr>
          <w:rFonts w:hint="default" w:ascii="Times New Roman" w:hAnsi="Times New Roman" w:cs="Times New Roman"/>
          <w:sz w:val="20"/>
          <w:szCs w:val="20"/>
        </w:rPr>
        <w:t>.</w:t>
      </w:r>
    </w:p>
    <w:p>
      <w:pPr>
        <w:numPr>
          <w:ilvl w:val="1"/>
          <w:numId w:val="13"/>
        </w:numPr>
        <w:spacing w:line="276" w:lineRule="auto"/>
        <w:ind w:left="0" w:firstLine="0"/>
        <w:jc w:val="both"/>
        <w:rPr>
          <w:rFonts w:hint="default" w:ascii="Times New Roman" w:hAnsi="Times New Roman" w:cs="Times New Roman"/>
          <w:sz w:val="20"/>
          <w:szCs w:val="20"/>
        </w:rPr>
      </w:pPr>
      <w:r>
        <w:rPr>
          <w:rFonts w:hint="default" w:ascii="Times New Roman" w:hAnsi="Times New Roman" w:cs="Times New Roman"/>
          <w:color w:val="000000"/>
          <w:sz w:val="20"/>
          <w:szCs w:val="20"/>
        </w:rPr>
        <w:t>Em caso de divergência entre o descrito no Termo de Referência e o descrito no Sistema de compras do governo federal, prevalecem as descrições e unidades de medida contidas no Termo de Referência, sendo esta parte integrante do Edital.</w:t>
      </w:r>
    </w:p>
    <w:p>
      <w:pPr>
        <w:numPr>
          <w:ilvl w:val="1"/>
          <w:numId w:val="13"/>
        </w:numPr>
        <w:tabs>
          <w:tab w:val="left" w:pos="567"/>
          <w:tab w:val="left" w:pos="709"/>
        </w:tabs>
        <w:spacing w:line="276" w:lineRule="auto"/>
        <w:ind w:left="0" w:firstLine="0"/>
        <w:jc w:val="both"/>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 xml:space="preserve">Ressalvada a publicação do presente Edital que ocorrerá na forma prevista no art. 20 do Decreto nº 10.024, de 20 de setembro de 2019, a publicação dos demais atos deste Pregão se darão no Portal de Compras do Governo Federal – </w:t>
      </w:r>
      <w:r>
        <w:rPr>
          <w:rFonts w:hint="default" w:ascii="Times New Roman" w:hAnsi="Times New Roman" w:cs="Times New Roman"/>
        </w:rPr>
        <w:fldChar w:fldCharType="begin"/>
      </w:r>
      <w:r>
        <w:rPr>
          <w:rFonts w:hint="default" w:ascii="Times New Roman" w:hAnsi="Times New Roman" w:cs="Times New Roman"/>
        </w:rPr>
        <w:instrText xml:space="preserve"> HYPERLINK "http://www.compras.gov.br" </w:instrText>
      </w:r>
      <w:r>
        <w:rPr>
          <w:rFonts w:hint="default" w:ascii="Times New Roman" w:hAnsi="Times New Roman" w:cs="Times New Roman"/>
        </w:rPr>
        <w:fldChar w:fldCharType="separate"/>
      </w:r>
      <w:r>
        <w:rPr>
          <w:rStyle w:val="11"/>
          <w:rFonts w:hint="default" w:ascii="Times New Roman" w:hAnsi="Times New Roman" w:cs="Times New Roman"/>
          <w:sz w:val="20"/>
          <w:szCs w:val="20"/>
        </w:rPr>
        <w:t>www.compras.gov.br</w:t>
      </w:r>
      <w:r>
        <w:rPr>
          <w:rStyle w:val="11"/>
          <w:rFonts w:hint="default" w:ascii="Times New Roman" w:hAnsi="Times New Roman" w:cs="Times New Roman"/>
          <w:sz w:val="20"/>
          <w:szCs w:val="20"/>
        </w:rPr>
        <w:fldChar w:fldCharType="end"/>
      </w:r>
      <w:r>
        <w:rPr>
          <w:rFonts w:hint="default" w:ascii="Times New Roman" w:hAnsi="Times New Roman" w:cs="Times New Roman"/>
          <w:color w:val="000000"/>
          <w:sz w:val="20"/>
          <w:szCs w:val="20"/>
        </w:rPr>
        <w:t>, cabendo ao licitante acompanhá-los, não sendo cabida a alegação de desconhecimento de atos já publicados.</w:t>
      </w:r>
    </w:p>
    <w:p>
      <w:pPr>
        <w:tabs>
          <w:tab w:val="left" w:pos="567"/>
          <w:tab w:val="left" w:pos="709"/>
        </w:tabs>
        <w:spacing w:line="276" w:lineRule="auto"/>
        <w:jc w:val="both"/>
        <w:rPr>
          <w:rFonts w:hint="default" w:ascii="Times New Roman" w:hAnsi="Times New Roman" w:cs="Times New Roman"/>
          <w:color w:val="000000"/>
          <w:sz w:val="20"/>
          <w:szCs w:val="20"/>
        </w:rPr>
      </w:pPr>
    </w:p>
    <w:p>
      <w:pPr>
        <w:numPr>
          <w:ilvl w:val="1"/>
          <w:numId w:val="13"/>
        </w:numPr>
        <w:tabs>
          <w:tab w:val="left" w:pos="567"/>
          <w:tab w:val="left" w:pos="709"/>
        </w:tabs>
        <w:spacing w:line="276" w:lineRule="auto"/>
        <w:ind w:left="0" w:firstLine="0"/>
        <w:jc w:val="both"/>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Integram este Edital, para todos os fins e efeitos, os seguintes anexos:</w:t>
      </w:r>
    </w:p>
    <w:p>
      <w:pPr>
        <w:numPr>
          <w:ilvl w:val="2"/>
          <w:numId w:val="13"/>
        </w:numPr>
        <w:tabs>
          <w:tab w:val="left" w:pos="1134"/>
        </w:tabs>
        <w:autoSpaceDE w:val="0"/>
        <w:snapToGrid w:val="0"/>
        <w:spacing w:line="276" w:lineRule="auto"/>
        <w:ind w:left="0" w:firstLine="0"/>
        <w:jc w:val="both"/>
        <w:rPr>
          <w:rFonts w:hint="default" w:ascii="Times New Roman" w:hAnsi="Times New Roman" w:cs="Times New Roman"/>
          <w:iCs/>
          <w:color w:val="000000"/>
          <w:sz w:val="20"/>
          <w:szCs w:val="20"/>
        </w:rPr>
      </w:pPr>
      <w:r>
        <w:rPr>
          <w:rFonts w:hint="default" w:ascii="Times New Roman" w:hAnsi="Times New Roman" w:cs="Times New Roman"/>
          <w:color w:val="000000"/>
          <w:sz w:val="20"/>
          <w:szCs w:val="20"/>
        </w:rPr>
        <w:t xml:space="preserve"> ANEXO I:</w:t>
      </w:r>
    </w:p>
    <w:p>
      <w:pPr>
        <w:pStyle w:val="23"/>
        <w:numPr>
          <w:ilvl w:val="3"/>
          <w:numId w:val="13"/>
        </w:numPr>
        <w:tabs>
          <w:tab w:val="left" w:pos="1134"/>
        </w:tabs>
        <w:autoSpaceDE w:val="0"/>
        <w:snapToGrid w:val="0"/>
        <w:spacing w:line="276" w:lineRule="auto"/>
        <w:ind w:left="0" w:firstLine="0"/>
        <w:jc w:val="both"/>
        <w:rPr>
          <w:rFonts w:hint="default" w:ascii="Times New Roman" w:hAnsi="Times New Roman" w:cs="Times New Roman"/>
          <w:iCs/>
          <w:color w:val="000000"/>
          <w:sz w:val="20"/>
          <w:szCs w:val="20"/>
        </w:rPr>
      </w:pPr>
      <w:r>
        <w:rPr>
          <w:rFonts w:hint="default" w:ascii="Times New Roman" w:hAnsi="Times New Roman" w:cs="Times New Roman"/>
          <w:color w:val="000000"/>
          <w:sz w:val="20"/>
          <w:szCs w:val="20"/>
        </w:rPr>
        <w:t>Anexo 1A - Termo de Referência</w:t>
      </w:r>
    </w:p>
    <w:p>
      <w:pPr>
        <w:pStyle w:val="23"/>
        <w:numPr>
          <w:ilvl w:val="3"/>
          <w:numId w:val="13"/>
        </w:numPr>
        <w:tabs>
          <w:tab w:val="left" w:pos="1134"/>
        </w:tabs>
        <w:autoSpaceDE w:val="0"/>
        <w:snapToGrid w:val="0"/>
        <w:spacing w:line="276" w:lineRule="auto"/>
        <w:ind w:left="0" w:firstLine="0"/>
        <w:jc w:val="both"/>
        <w:rPr>
          <w:rFonts w:hint="default" w:ascii="Times New Roman" w:hAnsi="Times New Roman" w:cs="Times New Roman"/>
          <w:iCs/>
          <w:color w:val="000000"/>
          <w:sz w:val="20"/>
          <w:szCs w:val="20"/>
        </w:rPr>
      </w:pPr>
      <w:r>
        <w:rPr>
          <w:rFonts w:hint="default" w:ascii="Times New Roman" w:hAnsi="Times New Roman" w:cs="Times New Roman"/>
          <w:color w:val="000000"/>
          <w:sz w:val="20"/>
          <w:szCs w:val="20"/>
        </w:rPr>
        <w:t>Anexo 1B – Minuta de Proposta</w:t>
      </w:r>
    </w:p>
    <w:p>
      <w:pPr>
        <w:pStyle w:val="23"/>
        <w:numPr>
          <w:ilvl w:val="3"/>
          <w:numId w:val="13"/>
        </w:numPr>
        <w:tabs>
          <w:tab w:val="left" w:pos="1134"/>
        </w:tabs>
        <w:autoSpaceDE w:val="0"/>
        <w:snapToGrid w:val="0"/>
        <w:spacing w:line="276" w:lineRule="auto"/>
        <w:ind w:left="0" w:firstLine="0"/>
        <w:jc w:val="both"/>
        <w:rPr>
          <w:rFonts w:hint="default" w:ascii="Times New Roman" w:hAnsi="Times New Roman" w:cs="Times New Roman"/>
          <w:iCs/>
          <w:color w:val="000000"/>
          <w:sz w:val="20"/>
          <w:szCs w:val="20"/>
        </w:rPr>
      </w:pPr>
      <w:r>
        <w:rPr>
          <w:rFonts w:hint="default" w:ascii="Times New Roman" w:hAnsi="Times New Roman" w:cs="Times New Roman"/>
          <w:bCs/>
          <w:iCs/>
          <w:color w:val="000000"/>
          <w:sz w:val="20"/>
          <w:szCs w:val="20"/>
        </w:rPr>
        <w:t xml:space="preserve"> Anexo II – Minuta de Termo de Contrato</w:t>
      </w:r>
    </w:p>
    <w:p>
      <w:pPr>
        <w:pStyle w:val="23"/>
        <w:numPr>
          <w:ilvl w:val="3"/>
          <w:numId w:val="13"/>
        </w:numPr>
        <w:tabs>
          <w:tab w:val="left" w:pos="1134"/>
        </w:tabs>
        <w:autoSpaceDE w:val="0"/>
        <w:snapToGrid w:val="0"/>
        <w:spacing w:line="276" w:lineRule="auto"/>
        <w:ind w:left="0" w:firstLine="0"/>
        <w:jc w:val="both"/>
        <w:rPr>
          <w:rFonts w:hint="default" w:ascii="Times New Roman" w:hAnsi="Times New Roman" w:cs="Times New Roman"/>
          <w:iCs/>
          <w:color w:val="000000"/>
          <w:sz w:val="20"/>
          <w:szCs w:val="20"/>
        </w:rPr>
      </w:pPr>
      <w:r>
        <w:rPr>
          <w:rFonts w:hint="default" w:ascii="Times New Roman" w:hAnsi="Times New Roman" w:cs="Times New Roman"/>
          <w:bCs/>
          <w:iCs/>
          <w:color w:val="000000"/>
          <w:sz w:val="20"/>
          <w:szCs w:val="20"/>
        </w:rPr>
        <w:t>Anexo III – Ata de registro de preços</w:t>
      </w:r>
    </w:p>
    <w:p>
      <w:pPr>
        <w:spacing w:line="276" w:lineRule="auto"/>
        <w:jc w:val="center"/>
        <w:rPr>
          <w:rFonts w:hint="default" w:ascii="Times New Roman" w:hAnsi="Times New Roman" w:cs="Times New Roman"/>
          <w:color w:val="000000"/>
          <w:sz w:val="20"/>
          <w:szCs w:val="20"/>
        </w:rPr>
      </w:pPr>
    </w:p>
    <w:p>
      <w:pPr>
        <w:spacing w:line="276" w:lineRule="auto"/>
        <w:jc w:val="center"/>
        <w:rPr>
          <w:rFonts w:hint="default" w:ascii="Times New Roman" w:hAnsi="Times New Roman" w:cs="Times New Roman"/>
          <w:color w:val="000000"/>
          <w:sz w:val="20"/>
          <w:szCs w:val="20"/>
          <w:lang w:val="pt-BR"/>
        </w:rPr>
      </w:pPr>
      <w:r>
        <w:rPr>
          <w:rFonts w:hint="default" w:ascii="Times New Roman" w:hAnsi="Times New Roman" w:cs="Times New Roman"/>
          <w:color w:val="000000"/>
          <w:sz w:val="20"/>
          <w:szCs w:val="20"/>
        </w:rPr>
        <w:t>Viçosa,</w:t>
      </w:r>
      <w:r>
        <w:rPr>
          <w:rFonts w:hint="default" w:ascii="Times New Roman" w:hAnsi="Times New Roman" w:cs="Times New Roman"/>
          <w:color w:val="000000"/>
          <w:sz w:val="20"/>
          <w:szCs w:val="20"/>
          <w:lang w:val="pt-BR"/>
        </w:rPr>
        <w:t xml:space="preserve"> - MG, 31 </w:t>
      </w:r>
      <w:bookmarkStart w:id="8" w:name="_GoBack"/>
      <w:bookmarkEnd w:id="8"/>
      <w:r>
        <w:rPr>
          <w:rFonts w:hint="default" w:ascii="Times New Roman" w:hAnsi="Times New Roman" w:cs="Times New Roman"/>
          <w:color w:val="000000"/>
          <w:sz w:val="20"/>
          <w:szCs w:val="20"/>
          <w:lang w:val="pt-BR"/>
        </w:rPr>
        <w:t>de março de 2023.</w:t>
      </w:r>
    </w:p>
    <w:p>
      <w:pPr>
        <w:spacing w:line="276" w:lineRule="auto"/>
        <w:jc w:val="center"/>
        <w:rPr>
          <w:rFonts w:hint="default" w:ascii="Times New Roman" w:hAnsi="Times New Roman" w:cs="Times New Roman"/>
          <w:color w:val="000000"/>
          <w:sz w:val="20"/>
          <w:szCs w:val="20"/>
        </w:rPr>
      </w:pPr>
    </w:p>
    <w:p>
      <w:pPr>
        <w:spacing w:line="276" w:lineRule="auto"/>
        <w:jc w:val="center"/>
        <w:rPr>
          <w:rFonts w:hint="default" w:ascii="Times New Roman" w:hAnsi="Times New Roman" w:cs="Times New Roman"/>
          <w:color w:val="000000"/>
          <w:sz w:val="20"/>
          <w:szCs w:val="20"/>
        </w:rPr>
      </w:pPr>
    </w:p>
    <w:p>
      <w:pPr>
        <w:spacing w:line="276" w:lineRule="auto"/>
        <w:jc w:val="center"/>
        <w:rPr>
          <w:rFonts w:hint="default" w:ascii="Times New Roman" w:hAnsi="Times New Roman" w:cs="Times New Roman"/>
          <w:b/>
          <w:bCs/>
          <w:iCs/>
          <w:color w:val="000000"/>
          <w:sz w:val="20"/>
          <w:szCs w:val="20"/>
        </w:rPr>
      </w:pPr>
      <w:r>
        <w:rPr>
          <w:rFonts w:hint="default" w:ascii="Times New Roman" w:hAnsi="Times New Roman" w:cs="Times New Roman"/>
          <w:b/>
          <w:bCs/>
          <w:iCs/>
          <w:color w:val="000000"/>
          <w:sz w:val="20"/>
          <w:szCs w:val="20"/>
        </w:rPr>
        <w:t>Andréa Lopes da Silva Gonçalves</w:t>
      </w:r>
    </w:p>
    <w:p>
      <w:pPr>
        <w:spacing w:line="276" w:lineRule="auto"/>
        <w:jc w:val="center"/>
        <w:rPr>
          <w:rFonts w:hint="default" w:ascii="Times New Roman" w:hAnsi="Times New Roman" w:cs="Times New Roman"/>
          <w:b/>
          <w:iCs/>
          <w:color w:val="000000"/>
          <w:sz w:val="20"/>
          <w:szCs w:val="20"/>
        </w:rPr>
      </w:pPr>
      <w:r>
        <w:rPr>
          <w:rFonts w:hint="default" w:ascii="Times New Roman" w:hAnsi="Times New Roman" w:cs="Times New Roman"/>
          <w:b/>
          <w:bCs/>
          <w:iCs/>
          <w:color w:val="000000"/>
          <w:sz w:val="20"/>
          <w:szCs w:val="20"/>
        </w:rPr>
        <w:t>Secretária Executiva do CISMIV</w:t>
      </w:r>
    </w:p>
    <w:sectPr>
      <w:headerReference r:id="rId4" w:type="default"/>
      <w:footerReference r:id="rId5" w:type="default"/>
      <w:pgSz w:w="11906" w:h="16838"/>
      <w:pgMar w:top="1418" w:right="1133" w:bottom="1418" w:left="1701" w:header="284" w:footer="28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00002FF" w:usb1="4000ACFF" w:usb2="00000001" w:usb3="00000000" w:csb0="2000019F" w:csb1="00000000"/>
  </w:font>
  <w:font w:name="Ecofont_Spranq_eco_Sans">
    <w:altName w:val="Malgun Gothic"/>
    <w:panose1 w:val="00000000000000000000"/>
    <w:charset w:val="00"/>
    <w:family w:val="swiss"/>
    <w:pitch w:val="default"/>
    <w:sig w:usb0="00000000" w:usb1="00000000" w:usb2="00000000" w:usb3="00000000" w:csb0="00000001" w:csb1="00000000"/>
  </w:font>
  <w:font w:name="Malgun Gothic">
    <w:panose1 w:val="020B0503020000020004"/>
    <w:charset w:val="81"/>
    <w:family w:val="auto"/>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Lohit Hindi">
    <w:altName w:val="Times New Roman"/>
    <w:panose1 w:val="00000000000000000000"/>
    <w:charset w:val="00"/>
    <w:family w:val="roman"/>
    <w:pitch w:val="default"/>
    <w:sig w:usb0="00000000" w:usb1="00000000" w:usb2="00000000" w:usb3="00000000" w:csb0="00000000" w:csb1="00000000"/>
  </w:font>
  <w:font w:name="Arial Unicode MS">
    <w:panose1 w:val="020B0604020202020204"/>
    <w:charset w:val="80"/>
    <w:family w:val="swiss"/>
    <w:pitch w:val="default"/>
    <w:sig w:usb0="FFFFFFFF" w:usb1="E9FFFFFF" w:usb2="0000003F" w:usb3="00000000" w:csb0="603F01FF" w:csb1="FFFF0000"/>
  </w:font>
  <w:font w:name="Century Gothic">
    <w:panose1 w:val="020B0502020202020204"/>
    <w:charset w:val="00"/>
    <w:family w:val="swiss"/>
    <w:pitch w:val="default"/>
    <w:sig w:usb0="00000287" w:usb1="00000000" w:usb2="00000000" w:usb3="00000000" w:csb0="2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right"/>
      <w:rPr>
        <w:rFonts w:ascii="Century Gothic" w:hAnsi="Century Gothic"/>
        <w:sz w:val="16"/>
        <w:szCs w:val="16"/>
      </w:rPr>
    </w:pPr>
    <w:r>
      <w:rPr>
        <w:rFonts w:ascii="Century Gothic" w:hAnsi="Century Gothic"/>
        <w:sz w:val="16"/>
        <w:szCs w:val="16"/>
      </w:rPr>
      <w:drawing>
        <wp:inline distT="0" distB="0" distL="0" distR="0">
          <wp:extent cx="5409565" cy="487045"/>
          <wp:effectExtent l="0" t="0" r="8255" b="10160"/>
          <wp:docPr id="2"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1"/>
                  <pic:cNvPicPr>
                    <a:picLocks noChangeAspect="1" noChangeArrowheads="1"/>
                  </pic:cNvPicPr>
                </pic:nvPicPr>
                <pic:blipFill>
                  <a:blip r:embed="rId1"/>
                  <a:srcRect/>
                  <a:stretch>
                    <a:fillRect/>
                  </a:stretch>
                </pic:blipFill>
                <pic:spPr>
                  <a:xfrm>
                    <a:off x="0" y="0"/>
                    <a:ext cx="5409565" cy="487045"/>
                  </a:xfrm>
                  <a:prstGeom prst="rect">
                    <a:avLst/>
                  </a:prstGeom>
                  <a:noFill/>
                  <a:ln w="9525">
                    <a:noFill/>
                    <a:miter lim="800000"/>
                    <a:headEnd/>
                    <a:tailEnd/>
                  </a:ln>
                </pic:spPr>
              </pic:pic>
            </a:graphicData>
          </a:graphic>
        </wp:inline>
      </w:drawing>
    </w:r>
    <w:r>
      <w:rPr>
        <w:rFonts w:ascii="Century Gothic" w:hAnsi="Century Gothic"/>
        <w:sz w:val="16"/>
        <w:szCs w:val="16"/>
      </w:rPr>
      <w:t xml:space="preserve">Página | </w:t>
    </w:r>
    <w:r>
      <w:rPr>
        <w:rFonts w:ascii="Century Gothic" w:hAnsi="Century Gothic"/>
        <w:sz w:val="16"/>
        <w:szCs w:val="16"/>
      </w:rPr>
      <w:fldChar w:fldCharType="begin"/>
    </w:r>
    <w:r>
      <w:rPr>
        <w:rFonts w:ascii="Century Gothic" w:hAnsi="Century Gothic"/>
        <w:sz w:val="16"/>
        <w:szCs w:val="16"/>
      </w:rPr>
      <w:instrText xml:space="preserve">PAGE   \* MERGEFORMAT</w:instrText>
    </w:r>
    <w:r>
      <w:rPr>
        <w:rFonts w:ascii="Century Gothic" w:hAnsi="Century Gothic"/>
        <w:sz w:val="16"/>
        <w:szCs w:val="16"/>
      </w:rPr>
      <w:fldChar w:fldCharType="separate"/>
    </w:r>
    <w:r>
      <w:rPr>
        <w:rFonts w:ascii="Century Gothic" w:hAnsi="Century Gothic"/>
        <w:sz w:val="16"/>
        <w:szCs w:val="16"/>
      </w:rPr>
      <w:t>8</w:t>
    </w:r>
    <w:r>
      <w:rPr>
        <w:rFonts w:ascii="Century Gothic" w:hAnsi="Century Gothic"/>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12">
    <w:p>
      <w:r>
        <w:separator/>
      </w:r>
    </w:p>
  </w:footnote>
  <w:footnote w:type="continuationSeparator" w:id="13">
    <w:p>
      <w:r>
        <w:continuationSeparator/>
      </w:r>
    </w:p>
  </w:footnote>
  <w:footnote w:id="0">
    <w:p>
      <w:pPr>
        <w:pStyle w:val="21"/>
        <w:jc w:val="both"/>
        <w:rPr>
          <w:rStyle w:val="9"/>
          <w:rFonts w:hint="default" w:ascii="Times New Roman" w:hAnsi="Times New Roman" w:cs="Times New Roman"/>
          <w:i w:val="0"/>
          <w:spacing w:val="3"/>
          <w:sz w:val="18"/>
          <w:szCs w:val="18"/>
          <w:shd w:val="clear" w:color="auto" w:fill="FFFFFF"/>
        </w:rPr>
      </w:pPr>
      <w:r>
        <w:rPr>
          <w:rStyle w:val="10"/>
          <w:rFonts w:hint="default" w:ascii="Times New Roman" w:hAnsi="Times New Roman" w:cs="Times New Roman"/>
          <w:sz w:val="18"/>
          <w:szCs w:val="18"/>
        </w:rPr>
        <w:footnoteRef/>
      </w:r>
      <w:r>
        <w:rPr>
          <w:rStyle w:val="9"/>
          <w:rFonts w:hint="default" w:ascii="Times New Roman" w:hAnsi="Times New Roman" w:cs="Times New Roman"/>
          <w:spacing w:val="3"/>
          <w:sz w:val="18"/>
          <w:szCs w:val="18"/>
          <w:shd w:val="clear" w:color="auto" w:fill="FFFFFF"/>
        </w:rPr>
        <w:t>“</w:t>
      </w:r>
      <w:r>
        <w:rPr>
          <w:rStyle w:val="9"/>
          <w:rFonts w:hint="default" w:ascii="Times New Roman" w:hAnsi="Times New Roman" w:cs="Times New Roman"/>
          <w:i w:val="0"/>
          <w:spacing w:val="3"/>
          <w:sz w:val="18"/>
          <w:szCs w:val="18"/>
          <w:shd w:val="clear" w:color="auto" w:fill="FFFFFF"/>
        </w:rPr>
        <w:t>ADMINISTRATIVO – MANDADO DE SEGURANÇA – LICITAÇÃO – SUSPENSÃOTEMPORÁRIA – DISTINÇÃO ENTRE ADMINISTRAÇÃO E ADMINISTRAÇÃO PÚBLICA -INEXISTÊNCIA – IMPOSSIBILIDADE DE PARTICIPAÇÃO DE LICITAÇÃO PÚBLICA –LEGALIDADE – LEI 8.666/93, ART. 87, INC. III.</w:t>
      </w:r>
    </w:p>
    <w:p>
      <w:pPr>
        <w:pStyle w:val="21"/>
        <w:jc w:val="both"/>
        <w:rPr>
          <w:rFonts w:hint="default" w:ascii="Times New Roman" w:hAnsi="Times New Roman" w:cs="Times New Roman"/>
          <w:i/>
          <w:sz w:val="18"/>
          <w:szCs w:val="18"/>
        </w:rPr>
      </w:pPr>
      <w:r>
        <w:rPr>
          <w:rStyle w:val="9"/>
          <w:rFonts w:hint="default" w:ascii="Times New Roman" w:hAnsi="Times New Roman" w:cs="Times New Roman"/>
          <w:i w:val="0"/>
          <w:spacing w:val="3"/>
          <w:sz w:val="18"/>
          <w:szCs w:val="18"/>
          <w:shd w:val="clear" w:color="auto" w:fill="FFFFFF"/>
        </w:rPr>
        <w:t>-</w:t>
      </w:r>
      <w:r>
        <w:rPr>
          <w:rFonts w:hint="default" w:ascii="Times New Roman" w:hAnsi="Times New Roman" w:cs="Times New Roman"/>
          <w:i/>
          <w:spacing w:val="3"/>
          <w:sz w:val="18"/>
          <w:szCs w:val="18"/>
          <w:shd w:val="clear" w:color="auto" w:fill="FFFFFF"/>
        </w:rPr>
        <w:t> </w:t>
      </w:r>
      <w:r>
        <w:rPr>
          <w:rStyle w:val="7"/>
          <w:rFonts w:hint="default" w:ascii="Times New Roman" w:hAnsi="Times New Roman" w:cs="Times New Roman"/>
          <w:i/>
          <w:iCs/>
          <w:spacing w:val="3"/>
          <w:sz w:val="18"/>
          <w:szCs w:val="18"/>
          <w:u w:val="single"/>
          <w:shd w:val="clear" w:color="auto" w:fill="FFFFFF"/>
        </w:rPr>
        <w:t>É irrelevante a distinção entre os termos Administração Pública e Administração, por isso que ambas as figuras (suspensão temporária de participar em licitação (inc. III) e declaração de inidoneidade (inc. IV) acarretam ao licitante a não-participação em licitações e contratações futuras.</w:t>
      </w:r>
      <w:r>
        <w:rPr>
          <w:rStyle w:val="9"/>
          <w:rFonts w:hint="default" w:ascii="Times New Roman" w:hAnsi="Times New Roman" w:cs="Times New Roman"/>
          <w:i w:val="0"/>
          <w:spacing w:val="3"/>
          <w:sz w:val="18"/>
          <w:szCs w:val="18"/>
          <w:shd w:val="clear" w:color="auto" w:fill="FFFFFF"/>
        </w:rPr>
        <w:t>- A Administração Pública é una, sendo descentralizadas as suas funções, para melhor atender aobem comum.- A limitação dos efeitos da “suspensão de participação de licitação” não pode ficar restrita a um órgão do poder público, pois os efeitos do desvio de conduta que inabilita o sujeito para contratar com a Administração se estendem a qualquer órgão da Administração Pública.- Recurso especial não conhecido.”</w:t>
      </w:r>
      <w:r>
        <w:rPr>
          <w:rFonts w:hint="default" w:ascii="Times New Roman" w:hAnsi="Times New Roman" w:cs="Times New Roman"/>
          <w:i/>
          <w:spacing w:val="3"/>
          <w:sz w:val="18"/>
          <w:szCs w:val="18"/>
          <w:shd w:val="clear" w:color="auto" w:fill="FFFFFF"/>
        </w:rPr>
        <w:t>(REsp 151.567/RJ, Rel. Ministro FRANCISCO PEÇANHA MARTINS, SEGUNDA TURMA, julgado em 25/02/2003, DJ 14/04/2003, p. 208)</w:t>
      </w:r>
    </w:p>
  </w:footnote>
  <w:footnote w:id="1">
    <w:p>
      <w:pPr>
        <w:pStyle w:val="21"/>
        <w:jc w:val="both"/>
        <w:rPr>
          <w:rFonts w:hint="default" w:ascii="Times New Roman" w:hAnsi="Times New Roman" w:cs="Times New Roman"/>
          <w:sz w:val="18"/>
          <w:szCs w:val="18"/>
        </w:rPr>
      </w:pPr>
      <w:r>
        <w:rPr>
          <w:rStyle w:val="10"/>
          <w:rFonts w:hint="default" w:ascii="Times New Roman" w:hAnsi="Times New Roman" w:cs="Times New Roman"/>
          <w:sz w:val="18"/>
          <w:szCs w:val="18"/>
        </w:rPr>
        <w:footnoteRef/>
      </w:r>
      <w:r>
        <w:rPr>
          <w:rFonts w:hint="default" w:ascii="Times New Roman" w:hAnsi="Times New Roman" w:cs="Times New Roman"/>
          <w:sz w:val="18"/>
          <w:szCs w:val="18"/>
        </w:rPr>
        <w:t xml:space="preserve"> ● Recurso Especial n. 174.274 — Segunda Turma Relator: Ministro Castro Moreira Sessão: 22/11/2004 Administrativo. Suspensão de participação em licitações. Mandado de Segurança. Entes ou órgãos diversos. Extensão da punição para toda a administração. 1. A punição prevista no inciso III do artigo 87 da Lei n. 8.666/93 não produz efeitos somente em relação ao órgão ou ente federado que determinou a punição, mas a toda a Administração Pública, pois, caso contrário, permitir-se-ia que empresa suspensa contratasse novamente durante o período de suspensão, tirando desta a eficácia necessária. 2. Recurso especial provido (STJ, Segunda Turma, REsp n. 174274/SP. Rel. Min. Castro Meira, DJ, 22 nov. 2004). No julgamento ora transcrito, o mesmo raciocínio desenvolvido pode ser aplicado para a sanção prevista no inciso IV, do artigo 87, da Lei n. 8.666/93.</w:t>
      </w:r>
    </w:p>
  </w:footnote>
  <w:footnote w:id="2">
    <w:p>
      <w:pPr>
        <w:pStyle w:val="38"/>
        <w:numPr>
          <w:ilvl w:val="0"/>
          <w:numId w:val="0"/>
        </w:numPr>
        <w:shd w:val="clear" w:color="auto" w:fill="FFFFFF"/>
        <w:spacing w:before="0"/>
        <w:rPr>
          <w:rFonts w:hint="default" w:ascii="Times New Roman" w:hAnsi="Times New Roman" w:cs="Times New Roman"/>
          <w:b w:val="0"/>
          <w:color w:val="auto"/>
          <w:sz w:val="18"/>
          <w:szCs w:val="18"/>
        </w:rPr>
      </w:pPr>
      <w:r>
        <w:rPr>
          <w:rStyle w:val="10"/>
          <w:rFonts w:hint="default" w:ascii="Times New Roman" w:hAnsi="Times New Roman" w:cs="Times New Roman"/>
          <w:color w:val="auto"/>
          <w:sz w:val="18"/>
          <w:szCs w:val="18"/>
        </w:rPr>
        <w:footnoteRef/>
      </w:r>
      <w:r>
        <w:rPr>
          <w:rFonts w:hint="default" w:ascii="Times New Roman" w:hAnsi="Times New Roman" w:cs="Times New Roman"/>
          <w:color w:val="auto"/>
          <w:sz w:val="18"/>
          <w:szCs w:val="18"/>
        </w:rPr>
        <w:t>TC-021.605/2012-2</w:t>
      </w:r>
    </w:p>
    <w:p>
      <w:pPr>
        <w:pStyle w:val="38"/>
        <w:numPr>
          <w:ilvl w:val="0"/>
          <w:numId w:val="0"/>
        </w:numPr>
        <w:shd w:val="clear" w:color="auto" w:fill="FFFFFF"/>
        <w:spacing w:before="0"/>
        <w:rPr>
          <w:rFonts w:hint="default" w:ascii="Times New Roman" w:hAnsi="Times New Roman" w:cs="Times New Roman"/>
          <w:b w:val="0"/>
          <w:color w:val="auto"/>
          <w:sz w:val="18"/>
          <w:szCs w:val="18"/>
        </w:rPr>
      </w:pPr>
      <w:r>
        <w:rPr>
          <w:rFonts w:hint="default" w:ascii="Times New Roman" w:hAnsi="Times New Roman" w:cs="Times New Roman"/>
          <w:b w:val="0"/>
          <w:color w:val="auto"/>
          <w:sz w:val="18"/>
          <w:szCs w:val="18"/>
        </w:rPr>
        <w:t xml:space="preserve">Natureza: Representação. Entidade: Serviço Nacional de Aprendizagem do Cooperativismo – Sescoop. Interessado: Tribunal de Contas da União.  </w:t>
      </w:r>
      <w:r>
        <w:rPr>
          <w:rFonts w:hint="default" w:ascii="Times New Roman" w:hAnsi="Times New Roman" w:cs="Times New Roman"/>
          <w:color w:val="auto"/>
          <w:sz w:val="18"/>
          <w:szCs w:val="18"/>
        </w:rPr>
        <w:t>SUMÁRIO:</w:t>
      </w:r>
      <w:r>
        <w:rPr>
          <w:rFonts w:hint="default" w:ascii="Times New Roman" w:hAnsi="Times New Roman" w:cs="Times New Roman"/>
          <w:b w:val="0"/>
          <w:color w:val="auto"/>
          <w:sz w:val="18"/>
          <w:szCs w:val="18"/>
        </w:rPr>
        <w:t xml:space="preserve"> REPRESENTAÇÃO. GRUPO DE TRABALHO CRIADO PARA AVALIAR A LEGALIDADE DA PARTICIPAÇÃO DE ORGANIZAÇÃO DA SOCIEDADE CIVIL DE INTERESSE PÚBLICO – OSCIP EM CERTAMES DA ADMINISTRAÇÃO PÚBLICA FEDERAL. DESVIRTUAMENTO DA FORMA DE RELACIONAMENTO COM PODER PÚBLICO PREVISTA NA LEI N. 9.790/1999. QUEBRA DO PRINCÍPIO DA ISONOMIA. IMPOSSIBILIDADE. CIÊNCIA AOS ÓRGÃOS E ENTIDADES DA ADMINISTRAÇÃO.</w:t>
      </w:r>
    </w:p>
    <w:p>
      <w:pPr>
        <w:pStyle w:val="38"/>
        <w:numPr>
          <w:ilvl w:val="0"/>
          <w:numId w:val="0"/>
        </w:numPr>
        <w:shd w:val="clear" w:color="auto" w:fill="FFFFFF"/>
        <w:spacing w:before="0"/>
        <w:rPr>
          <w:rFonts w:hint="default" w:ascii="Times New Roman" w:hAnsi="Times New Roman" w:cs="Times New Roman"/>
          <w:b w:val="0"/>
          <w:color w:val="auto"/>
          <w:sz w:val="18"/>
          <w:szCs w:val="18"/>
        </w:rPr>
      </w:pPr>
      <w:r>
        <w:rPr>
          <w:rFonts w:hint="default" w:ascii="Times New Roman" w:hAnsi="Times New Roman" w:cs="Times New Roman"/>
          <w:b w:val="0"/>
          <w:color w:val="auto"/>
          <w:sz w:val="18"/>
          <w:szCs w:val="18"/>
        </w:rPr>
        <w:t>1. Às Organizações da Sociedade Civil de Interesse Público, atuando nessa condição, é vedado participar de certames da Administração Pública Federal, porquanto tal agir implica ofensa à Lei n. 9.790/1999, que dispõe ser o Termo de Parceria o meio adequado de relacionamento entre elas e o Poder Público.</w:t>
      </w:r>
    </w:p>
    <w:p>
      <w:pPr>
        <w:pStyle w:val="38"/>
        <w:numPr>
          <w:ilvl w:val="0"/>
          <w:numId w:val="0"/>
        </w:numPr>
        <w:shd w:val="clear" w:color="auto" w:fill="FFFFFF"/>
        <w:spacing w:before="0"/>
        <w:rPr>
          <w:rFonts w:hint="default" w:ascii="Times New Roman" w:hAnsi="Times New Roman" w:cs="Times New Roman"/>
          <w:b w:val="0"/>
          <w:color w:val="auto"/>
          <w:sz w:val="18"/>
          <w:szCs w:val="18"/>
        </w:rPr>
      </w:pPr>
      <w:r>
        <w:rPr>
          <w:rFonts w:hint="default" w:ascii="Times New Roman" w:hAnsi="Times New Roman" w:cs="Times New Roman"/>
          <w:b w:val="0"/>
          <w:color w:val="auto"/>
          <w:sz w:val="18"/>
          <w:szCs w:val="18"/>
        </w:rPr>
        <w:t xml:space="preserve">2. A participação de OSCIP em torneios licitatórios da Administração Pública consubstancia quebra do princípio da isonomia, eis que tais entidades possuem benesses fiscais, a elas concedidas para atuarem mediante o estabelecimento de Termo de Parceria.  </w:t>
      </w:r>
    </w:p>
    <w:p>
      <w:pPr>
        <w:pStyle w:val="38"/>
        <w:numPr>
          <w:ilvl w:val="0"/>
          <w:numId w:val="0"/>
        </w:numPr>
        <w:shd w:val="clear" w:color="auto" w:fill="FFFFFF"/>
        <w:spacing w:before="0"/>
        <w:rPr>
          <w:rFonts w:hint="default" w:ascii="Times New Roman" w:hAnsi="Times New Roman" w:cs="Times New Roman"/>
          <w:sz w:val="18"/>
          <w:szCs w:val="18"/>
        </w:rPr>
      </w:pPr>
    </w:p>
  </w:footnote>
  <w:footnote w:id="3">
    <w:p>
      <w:pPr>
        <w:pStyle w:val="21"/>
        <w:jc w:val="both"/>
        <w:rPr>
          <w:rFonts w:hint="default" w:ascii="Times New Roman" w:hAnsi="Times New Roman" w:cs="Times New Roman"/>
          <w:sz w:val="18"/>
          <w:szCs w:val="18"/>
        </w:rPr>
      </w:pPr>
      <w:r>
        <w:rPr>
          <w:rStyle w:val="10"/>
          <w:rFonts w:hint="default" w:ascii="Times New Roman" w:hAnsi="Times New Roman" w:cs="Times New Roman"/>
          <w:sz w:val="18"/>
          <w:szCs w:val="18"/>
        </w:rPr>
        <w:footnoteRef/>
      </w:r>
      <w:r>
        <w:rPr>
          <w:rFonts w:hint="default" w:ascii="Times New Roman" w:hAnsi="Times New Roman" w:cs="Times New Roman"/>
          <w:sz w:val="18"/>
          <w:szCs w:val="18"/>
        </w:rPr>
        <w:t>Decreto n° 26/2019 do CISMIV:</w:t>
      </w:r>
    </w:p>
    <w:p>
      <w:pPr>
        <w:pStyle w:val="61"/>
        <w:spacing w:before="0" w:beforeAutospacing="0" w:after="0" w:afterAutospacing="0"/>
        <w:jc w:val="both"/>
        <w:rPr>
          <w:rFonts w:hint="default" w:ascii="Times New Roman" w:hAnsi="Times New Roman" w:cs="Times New Roman"/>
          <w:sz w:val="18"/>
          <w:szCs w:val="18"/>
        </w:rPr>
      </w:pPr>
      <w:r>
        <w:rPr>
          <w:rFonts w:hint="default" w:ascii="Times New Roman" w:hAnsi="Times New Roman" w:cs="Times New Roman"/>
          <w:sz w:val="18"/>
          <w:szCs w:val="18"/>
        </w:rPr>
        <w:t>Art. 31.  Serão adotados para o envio de lances no pregão eletrônico os seguintes modos de disputa:</w:t>
      </w:r>
    </w:p>
    <w:p>
      <w:pPr>
        <w:pStyle w:val="61"/>
        <w:spacing w:before="0" w:beforeAutospacing="0" w:after="0" w:afterAutospacing="0"/>
        <w:jc w:val="both"/>
        <w:rPr>
          <w:rFonts w:hint="default" w:ascii="Times New Roman" w:hAnsi="Times New Roman" w:cs="Times New Roman"/>
          <w:sz w:val="18"/>
          <w:szCs w:val="18"/>
        </w:rPr>
      </w:pPr>
      <w:r>
        <w:rPr>
          <w:rFonts w:hint="default" w:ascii="Times New Roman" w:hAnsi="Times New Roman" w:cs="Times New Roman"/>
          <w:sz w:val="18"/>
          <w:szCs w:val="18"/>
        </w:rPr>
        <w:t>I - aberto - os licitantes apresentarão lances públicos e sucessivos, com prorrogações, conforme o critério de julgamento adotado no edital; ou</w:t>
      </w:r>
    </w:p>
    <w:p>
      <w:pPr>
        <w:pStyle w:val="61"/>
        <w:spacing w:before="0" w:beforeAutospacing="0" w:after="0" w:afterAutospacing="0"/>
        <w:jc w:val="both"/>
        <w:rPr>
          <w:rFonts w:hint="default" w:ascii="Times New Roman" w:hAnsi="Times New Roman" w:cs="Times New Roman"/>
          <w:sz w:val="18"/>
          <w:szCs w:val="18"/>
        </w:rPr>
      </w:pPr>
      <w:r>
        <w:rPr>
          <w:rFonts w:hint="default" w:ascii="Times New Roman" w:hAnsi="Times New Roman" w:cs="Times New Roman"/>
          <w:sz w:val="18"/>
          <w:szCs w:val="18"/>
        </w:rPr>
        <w:t>II - aberto e fechado - os licitantes apresentarão lances públicos e sucessivos, com lance final e fechado, conforme o critério de julgamento adotado no edital.</w:t>
      </w:r>
    </w:p>
    <w:p>
      <w:pPr>
        <w:pStyle w:val="61"/>
        <w:spacing w:before="0" w:beforeAutospacing="0" w:after="0" w:afterAutospacing="0"/>
        <w:jc w:val="both"/>
        <w:rPr>
          <w:rFonts w:hint="default" w:ascii="Times New Roman" w:hAnsi="Times New Roman" w:cs="Times New Roman"/>
          <w:sz w:val="18"/>
          <w:szCs w:val="18"/>
        </w:rPr>
      </w:pPr>
      <w:r>
        <w:rPr>
          <w:rFonts w:hint="default" w:ascii="Times New Roman" w:hAnsi="Times New Roman" w:cs="Times New Roman"/>
          <w:sz w:val="18"/>
          <w:szCs w:val="18"/>
        </w:rPr>
        <w:t>Parágrafo único.  No modo de disputa aberto, o edital preverá intervalo mínimo de diferença de valores ou de percentuais entre os lances, que incidirá tanto em relação aos lances intermediários quanto em relação ao lance que cobrir a melhor oferta.</w:t>
      </w:r>
    </w:p>
    <w:p>
      <w:pPr>
        <w:pStyle w:val="61"/>
        <w:spacing w:before="0" w:beforeAutospacing="0" w:after="0" w:afterAutospacing="0"/>
        <w:jc w:val="both"/>
        <w:rPr>
          <w:rFonts w:hint="default" w:ascii="Times New Roman" w:hAnsi="Times New Roman" w:cs="Times New Roman"/>
          <w:sz w:val="18"/>
          <w:szCs w:val="18"/>
        </w:rPr>
      </w:pPr>
    </w:p>
  </w:footnote>
  <w:footnote w:id="4">
    <w:p>
      <w:pPr>
        <w:spacing w:before="120" w:after="120" w:line="240" w:lineRule="auto"/>
        <w:jc w:val="both"/>
        <w:rPr>
          <w:rFonts w:hint="default" w:ascii="Times New Roman" w:hAnsi="Times New Roman" w:cs="Times New Roman"/>
          <w:sz w:val="18"/>
          <w:szCs w:val="18"/>
        </w:rPr>
      </w:pPr>
      <w:r>
        <w:rPr>
          <w:rStyle w:val="10"/>
          <w:rFonts w:hint="default" w:ascii="Times New Roman" w:hAnsi="Times New Roman" w:cs="Times New Roman"/>
          <w:sz w:val="18"/>
          <w:szCs w:val="18"/>
        </w:rPr>
        <w:footnoteRef/>
      </w:r>
      <w:r>
        <w:rPr>
          <w:rFonts w:hint="default" w:ascii="Times New Roman" w:hAnsi="Times New Roman" w:cs="Times New Roman"/>
          <w:sz w:val="18"/>
          <w:szCs w:val="18"/>
          <w:shd w:val="clear" w:color="auto" w:fill="FFFFFF"/>
        </w:rPr>
        <w:t>Acórdão 1455/2018 – TCU: “9.7.1. os proponentes, licitantes e contratados devem respeitar os preços máximos estabelecidos nas normas de regência de contratações públicas federais, a exemplo do Decreto nº 7.983, de 8 de abril de 2013, quando participarem de licitações públicas;</w:t>
      </w:r>
      <w:r>
        <w:rPr>
          <w:rFonts w:hint="default" w:ascii="Times New Roman" w:hAnsi="Times New Roman" w:cs="Times New Roman"/>
          <w:sz w:val="18"/>
          <w:szCs w:val="18"/>
        </w:rPr>
        <w:br w:type="textWrapping"/>
      </w:r>
      <w:r>
        <w:rPr>
          <w:rFonts w:hint="default" w:ascii="Times New Roman" w:hAnsi="Times New Roman" w:cs="Times New Roman"/>
          <w:sz w:val="18"/>
          <w:szCs w:val="18"/>
          <w:shd w:val="clear" w:color="auto" w:fill="FFFFFF"/>
        </w:rPr>
        <w:t>9.7.2. o descumprimento das regras supramencionadas pela Administração por parte dos contratados pode ensejar a fiscalização do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footnote>
  <w:footnote w:id="5">
    <w:p>
      <w:pPr>
        <w:pStyle w:val="21"/>
        <w:jc w:val="both"/>
        <w:rPr>
          <w:rFonts w:hint="default" w:ascii="Times New Roman" w:hAnsi="Times New Roman" w:cs="Times New Roman"/>
          <w:sz w:val="18"/>
          <w:szCs w:val="18"/>
        </w:rPr>
      </w:pPr>
      <w:r>
        <w:rPr>
          <w:rStyle w:val="10"/>
          <w:rFonts w:hint="default" w:ascii="Times New Roman" w:hAnsi="Times New Roman" w:cs="Times New Roman"/>
          <w:sz w:val="18"/>
          <w:szCs w:val="18"/>
        </w:rPr>
        <w:footnoteRef/>
      </w:r>
      <w:r>
        <w:rPr>
          <w:rFonts w:hint="default" w:ascii="Times New Roman" w:hAnsi="Times New Roman" w:cs="Times New Roman"/>
          <w:sz w:val="18"/>
          <w:szCs w:val="18"/>
        </w:rPr>
        <w:t>Documentos que estejam ausentes nos enviados para a habilitação e que sejam exigências do edital não serão aceitos como documentos complementares.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jc w:val="center"/>
    </w:pPr>
    <w:r>
      <w:drawing>
        <wp:inline distT="0" distB="0" distL="0" distR="0">
          <wp:extent cx="4003040" cy="662940"/>
          <wp:effectExtent l="0" t="0" r="8890" b="5715"/>
          <wp:docPr id="1"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0"/>
                  <pic:cNvPicPr>
                    <a:picLocks noChangeAspect="1" noChangeArrowheads="1"/>
                  </pic:cNvPicPr>
                </pic:nvPicPr>
                <pic:blipFill>
                  <a:blip r:embed="rId1"/>
                  <a:srcRect/>
                  <a:stretch>
                    <a:fillRect/>
                  </a:stretch>
                </pic:blipFill>
                <pic:spPr>
                  <a:xfrm>
                    <a:off x="0" y="0"/>
                    <a:ext cx="4003040" cy="66294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0"/>
    <w:multiLevelType w:val="singleLevel"/>
    <w:tmpl w:val="FFFFFF80"/>
    <w:lvl w:ilvl="0" w:tentative="0">
      <w:start w:val="1"/>
      <w:numFmt w:val="bullet"/>
      <w:pStyle w:val="15"/>
      <w:lvlText w:val=""/>
      <w:lvlJc w:val="left"/>
      <w:pPr>
        <w:tabs>
          <w:tab w:val="left" w:pos="1492"/>
        </w:tabs>
        <w:ind w:left="1492" w:hanging="360"/>
      </w:pPr>
      <w:rPr>
        <w:rFonts w:hint="default" w:ascii="Symbol" w:hAnsi="Symbol"/>
      </w:rPr>
    </w:lvl>
  </w:abstractNum>
  <w:abstractNum w:abstractNumId="1">
    <w:nsid w:val="0D7608A9"/>
    <w:multiLevelType w:val="multilevel"/>
    <w:tmpl w:val="0D7608A9"/>
    <w:lvl w:ilvl="0" w:tentative="0">
      <w:start w:val="13"/>
      <w:numFmt w:val="decimal"/>
      <w:lvlText w:val="%1"/>
      <w:lvlJc w:val="left"/>
      <w:pPr>
        <w:ind w:left="360" w:hanging="360"/>
      </w:pPr>
      <w:rPr>
        <w:rFonts w:hint="default" w:cs="Times New Roman"/>
      </w:rPr>
    </w:lvl>
    <w:lvl w:ilvl="1" w:tentative="0">
      <w:start w:val="1"/>
      <w:numFmt w:val="decimal"/>
      <w:lvlText w:val="%1.%2"/>
      <w:lvlJc w:val="left"/>
      <w:pPr>
        <w:ind w:left="927" w:hanging="360"/>
      </w:pPr>
      <w:rPr>
        <w:rFonts w:hint="default" w:cs="Times New Roman"/>
        <w:strike w:val="0"/>
      </w:rPr>
    </w:lvl>
    <w:lvl w:ilvl="2" w:tentative="0">
      <w:start w:val="1"/>
      <w:numFmt w:val="decimal"/>
      <w:lvlText w:val="%1.%2.%3"/>
      <w:lvlJc w:val="left"/>
      <w:pPr>
        <w:ind w:left="1288" w:hanging="720"/>
      </w:pPr>
      <w:rPr>
        <w:rFonts w:hint="default" w:cs="Times New Roman"/>
      </w:rPr>
    </w:lvl>
    <w:lvl w:ilvl="3" w:tentative="0">
      <w:start w:val="1"/>
      <w:numFmt w:val="decimal"/>
      <w:lvlText w:val="%1.%2.%3.%4"/>
      <w:lvlJc w:val="left"/>
      <w:pPr>
        <w:ind w:left="1572" w:hanging="720"/>
      </w:pPr>
      <w:rPr>
        <w:rFonts w:hint="default" w:cs="Times New Roman"/>
      </w:rPr>
    </w:lvl>
    <w:lvl w:ilvl="4" w:tentative="0">
      <w:start w:val="1"/>
      <w:numFmt w:val="decimal"/>
      <w:lvlText w:val="%1.%2.%3.%4.%5"/>
      <w:lvlJc w:val="left"/>
      <w:pPr>
        <w:ind w:left="2216" w:hanging="1080"/>
      </w:pPr>
      <w:rPr>
        <w:rFonts w:hint="default" w:cs="Times New Roman"/>
      </w:rPr>
    </w:lvl>
    <w:lvl w:ilvl="5" w:tentative="0">
      <w:start w:val="1"/>
      <w:numFmt w:val="decimal"/>
      <w:lvlText w:val="%1.%2.%3.%4.%5.%6"/>
      <w:lvlJc w:val="left"/>
      <w:pPr>
        <w:ind w:left="2500" w:hanging="1080"/>
      </w:pPr>
      <w:rPr>
        <w:rFonts w:hint="default" w:cs="Times New Roman"/>
      </w:rPr>
    </w:lvl>
    <w:lvl w:ilvl="6" w:tentative="0">
      <w:start w:val="1"/>
      <w:numFmt w:val="decimal"/>
      <w:lvlText w:val="%1.%2.%3.%4.%5.%6.%7"/>
      <w:lvlJc w:val="left"/>
      <w:pPr>
        <w:ind w:left="3144" w:hanging="1440"/>
      </w:pPr>
      <w:rPr>
        <w:rFonts w:hint="default" w:cs="Times New Roman"/>
      </w:rPr>
    </w:lvl>
    <w:lvl w:ilvl="7" w:tentative="0">
      <w:start w:val="1"/>
      <w:numFmt w:val="decimal"/>
      <w:lvlText w:val="%1.%2.%3.%4.%5.%6.%7.%8"/>
      <w:lvlJc w:val="left"/>
      <w:pPr>
        <w:ind w:left="3428" w:hanging="1440"/>
      </w:pPr>
      <w:rPr>
        <w:rFonts w:hint="default" w:cs="Times New Roman"/>
      </w:rPr>
    </w:lvl>
    <w:lvl w:ilvl="8" w:tentative="0">
      <w:start w:val="1"/>
      <w:numFmt w:val="decimal"/>
      <w:lvlText w:val="%1.%2.%3.%4.%5.%6.%7.%8.%9"/>
      <w:lvlJc w:val="left"/>
      <w:pPr>
        <w:ind w:left="4072" w:hanging="1800"/>
      </w:pPr>
      <w:rPr>
        <w:rFonts w:hint="default" w:cs="Times New Roman"/>
      </w:rPr>
    </w:lvl>
  </w:abstractNum>
  <w:abstractNum w:abstractNumId="2">
    <w:nsid w:val="1D5C100D"/>
    <w:multiLevelType w:val="multilevel"/>
    <w:tmpl w:val="1D5C100D"/>
    <w:lvl w:ilvl="0" w:tentative="0">
      <w:start w:val="1"/>
      <w:numFmt w:val="decimal"/>
      <w:pStyle w:val="38"/>
      <w:lvlText w:val="%1."/>
      <w:lvlJc w:val="left"/>
      <w:pPr>
        <w:ind w:left="360" w:hanging="360"/>
      </w:pPr>
      <w:rPr>
        <w:rFonts w:hint="default" w:cs="Times New Roman"/>
        <w:b/>
        <w:color w:val="auto"/>
      </w:rPr>
    </w:lvl>
    <w:lvl w:ilvl="1" w:tentative="0">
      <w:start w:val="1"/>
      <w:numFmt w:val="decimal"/>
      <w:lvlText w:val="%1.%2."/>
      <w:lvlJc w:val="left"/>
      <w:pPr>
        <w:ind w:left="432" w:hanging="432"/>
      </w:pPr>
      <w:rPr>
        <w:rFonts w:hint="default" w:ascii="Times New Roman" w:hAnsi="Times New Roman" w:cs="Times New Roman"/>
        <w:b w:val="0"/>
        <w:i w:val="0"/>
        <w:strike w:val="0"/>
        <w:color w:val="auto"/>
        <w:sz w:val="20"/>
        <w:szCs w:val="20"/>
        <w:u w:val="none"/>
      </w:rPr>
    </w:lvl>
    <w:lvl w:ilvl="2" w:tentative="0">
      <w:start w:val="1"/>
      <w:numFmt w:val="decimal"/>
      <w:lvlText w:val="%1.%2.%3."/>
      <w:lvlJc w:val="left"/>
      <w:pPr>
        <w:ind w:left="504" w:hanging="504"/>
      </w:pPr>
      <w:rPr>
        <w:rFonts w:hint="default" w:ascii="Times New Roman" w:hAnsi="Times New Roman" w:cs="Times New Roman"/>
        <w:b w:val="0"/>
        <w:bCs/>
        <w:i w:val="0"/>
        <w:strike w:val="0"/>
        <w:color w:val="auto"/>
        <w:sz w:val="20"/>
        <w:szCs w:val="20"/>
      </w:rPr>
    </w:lvl>
    <w:lvl w:ilvl="3" w:tentative="0">
      <w:start w:val="1"/>
      <w:numFmt w:val="decimal"/>
      <w:lvlText w:val="%1.%2.%3.%4."/>
      <w:lvlJc w:val="left"/>
      <w:pPr>
        <w:ind w:left="648" w:hanging="648"/>
      </w:pPr>
      <w:rPr>
        <w:rFonts w:hint="default" w:cs="Times New Roman"/>
      </w:rPr>
    </w:lvl>
    <w:lvl w:ilvl="4" w:tentative="0">
      <w:start w:val="1"/>
      <w:numFmt w:val="decimal"/>
      <w:lvlText w:val="%1.%2.%3.%4.%5."/>
      <w:lvlJc w:val="left"/>
      <w:pPr>
        <w:ind w:left="2232" w:hanging="792"/>
      </w:pPr>
      <w:rPr>
        <w:rFonts w:hint="default" w:cs="Times New Roman"/>
      </w:rPr>
    </w:lvl>
    <w:lvl w:ilvl="5" w:tentative="0">
      <w:start w:val="1"/>
      <w:numFmt w:val="decimal"/>
      <w:lvlText w:val="%1.%2.%3.%4.%5.%6."/>
      <w:lvlJc w:val="left"/>
      <w:pPr>
        <w:ind w:left="2736" w:hanging="936"/>
      </w:pPr>
      <w:rPr>
        <w:rFonts w:hint="default" w:cs="Times New Roman"/>
      </w:rPr>
    </w:lvl>
    <w:lvl w:ilvl="6" w:tentative="0">
      <w:start w:val="1"/>
      <w:numFmt w:val="decimal"/>
      <w:lvlText w:val="%1.%2.%3.%4.%5.%6.%7."/>
      <w:lvlJc w:val="left"/>
      <w:pPr>
        <w:ind w:left="3240" w:hanging="1080"/>
      </w:pPr>
      <w:rPr>
        <w:rFonts w:hint="default" w:cs="Times New Roman"/>
      </w:rPr>
    </w:lvl>
    <w:lvl w:ilvl="7" w:tentative="0">
      <w:start w:val="1"/>
      <w:numFmt w:val="decimal"/>
      <w:lvlText w:val="%1.%2.%3.%4.%5.%6.%7.%8."/>
      <w:lvlJc w:val="left"/>
      <w:pPr>
        <w:ind w:left="3744" w:hanging="1224"/>
      </w:pPr>
      <w:rPr>
        <w:rFonts w:hint="default" w:cs="Times New Roman"/>
      </w:rPr>
    </w:lvl>
    <w:lvl w:ilvl="8" w:tentative="0">
      <w:start w:val="1"/>
      <w:numFmt w:val="decimal"/>
      <w:lvlText w:val="%1.%2.%3.%4.%5.%6.%7.%8.%9."/>
      <w:lvlJc w:val="left"/>
      <w:pPr>
        <w:ind w:left="4320" w:hanging="1440"/>
      </w:pPr>
      <w:rPr>
        <w:rFonts w:hint="default" w:cs="Times New Roman"/>
      </w:rPr>
    </w:lvl>
  </w:abstractNum>
  <w:abstractNum w:abstractNumId="3">
    <w:nsid w:val="2E982DB3"/>
    <w:multiLevelType w:val="multilevel"/>
    <w:tmpl w:val="2E982DB3"/>
    <w:lvl w:ilvl="0" w:tentative="0">
      <w:start w:val="4"/>
      <w:numFmt w:val="decimal"/>
      <w:lvlText w:val="%1"/>
      <w:lvlJc w:val="left"/>
      <w:pPr>
        <w:ind w:left="435" w:hanging="435"/>
      </w:pPr>
      <w:rPr>
        <w:rFonts w:hint="default"/>
        <w:color w:val="000000"/>
        <w:sz w:val="20"/>
      </w:rPr>
    </w:lvl>
    <w:lvl w:ilvl="1" w:tentative="0">
      <w:start w:val="3"/>
      <w:numFmt w:val="decimal"/>
      <w:lvlText w:val="%1.%2"/>
      <w:lvlJc w:val="left"/>
      <w:pPr>
        <w:ind w:left="435" w:hanging="435"/>
      </w:pPr>
      <w:rPr>
        <w:rFonts w:hint="default"/>
        <w:color w:val="000000"/>
        <w:sz w:val="20"/>
      </w:rPr>
    </w:lvl>
    <w:lvl w:ilvl="2" w:tentative="0">
      <w:start w:val="7"/>
      <w:numFmt w:val="decimal"/>
      <w:lvlText w:val="%1.%2.%3"/>
      <w:lvlJc w:val="left"/>
      <w:pPr>
        <w:ind w:left="720" w:hanging="720"/>
      </w:pPr>
      <w:rPr>
        <w:rFonts w:hint="default"/>
        <w:color w:val="000000"/>
        <w:sz w:val="20"/>
      </w:rPr>
    </w:lvl>
    <w:lvl w:ilvl="3" w:tentative="0">
      <w:start w:val="1"/>
      <w:numFmt w:val="decimal"/>
      <w:lvlText w:val="%1.%2.%3.%4"/>
      <w:lvlJc w:val="left"/>
      <w:pPr>
        <w:ind w:left="720" w:hanging="720"/>
      </w:pPr>
      <w:rPr>
        <w:rFonts w:hint="default"/>
        <w:color w:val="000000"/>
        <w:sz w:val="20"/>
      </w:rPr>
    </w:lvl>
    <w:lvl w:ilvl="4" w:tentative="0">
      <w:start w:val="1"/>
      <w:numFmt w:val="decimal"/>
      <w:lvlText w:val="%1.%2.%3.%4.%5"/>
      <w:lvlJc w:val="left"/>
      <w:pPr>
        <w:ind w:left="720" w:hanging="720"/>
      </w:pPr>
      <w:rPr>
        <w:rFonts w:hint="default"/>
        <w:color w:val="000000"/>
        <w:sz w:val="20"/>
      </w:rPr>
    </w:lvl>
    <w:lvl w:ilvl="5" w:tentative="0">
      <w:start w:val="1"/>
      <w:numFmt w:val="decimal"/>
      <w:lvlText w:val="%1.%2.%3.%4.%5.%6"/>
      <w:lvlJc w:val="left"/>
      <w:pPr>
        <w:ind w:left="1080" w:hanging="1080"/>
      </w:pPr>
      <w:rPr>
        <w:rFonts w:hint="default"/>
        <w:color w:val="000000"/>
        <w:sz w:val="20"/>
      </w:rPr>
    </w:lvl>
    <w:lvl w:ilvl="6" w:tentative="0">
      <w:start w:val="1"/>
      <w:numFmt w:val="decimal"/>
      <w:lvlText w:val="%1.%2.%3.%4.%5.%6.%7"/>
      <w:lvlJc w:val="left"/>
      <w:pPr>
        <w:ind w:left="1080" w:hanging="1080"/>
      </w:pPr>
      <w:rPr>
        <w:rFonts w:hint="default"/>
        <w:color w:val="000000"/>
        <w:sz w:val="20"/>
      </w:rPr>
    </w:lvl>
    <w:lvl w:ilvl="7" w:tentative="0">
      <w:start w:val="1"/>
      <w:numFmt w:val="decimal"/>
      <w:lvlText w:val="%1.%2.%3.%4.%5.%6.%7.%8"/>
      <w:lvlJc w:val="left"/>
      <w:pPr>
        <w:ind w:left="1440" w:hanging="1440"/>
      </w:pPr>
      <w:rPr>
        <w:rFonts w:hint="default"/>
        <w:color w:val="000000"/>
        <w:sz w:val="20"/>
      </w:rPr>
    </w:lvl>
    <w:lvl w:ilvl="8" w:tentative="0">
      <w:start w:val="1"/>
      <w:numFmt w:val="decimal"/>
      <w:lvlText w:val="%1.%2.%3.%4.%5.%6.%7.%8.%9"/>
      <w:lvlJc w:val="left"/>
      <w:pPr>
        <w:ind w:left="1440" w:hanging="1440"/>
      </w:pPr>
      <w:rPr>
        <w:rFonts w:hint="default"/>
        <w:color w:val="000000"/>
        <w:sz w:val="20"/>
      </w:rPr>
    </w:lvl>
  </w:abstractNum>
  <w:abstractNum w:abstractNumId="4">
    <w:nsid w:val="346250F7"/>
    <w:multiLevelType w:val="multilevel"/>
    <w:tmpl w:val="346250F7"/>
    <w:lvl w:ilvl="0" w:tentative="0">
      <w:start w:val="6"/>
      <w:numFmt w:val="decimal"/>
      <w:lvlText w:val="%1"/>
      <w:lvlJc w:val="left"/>
      <w:pPr>
        <w:ind w:left="360" w:hanging="360"/>
      </w:pPr>
      <w:rPr>
        <w:rFonts w:hint="default" w:cs="Times New Roman"/>
      </w:rPr>
    </w:lvl>
    <w:lvl w:ilvl="1" w:tentative="0">
      <w:start w:val="1"/>
      <w:numFmt w:val="decimal"/>
      <w:lvlText w:val="%1.%2"/>
      <w:lvlJc w:val="left"/>
      <w:pPr>
        <w:ind w:left="785" w:hanging="360"/>
      </w:pPr>
      <w:rPr>
        <w:rFonts w:hint="default" w:cs="Times New Roman"/>
      </w:rPr>
    </w:lvl>
    <w:lvl w:ilvl="2" w:tentative="0">
      <w:start w:val="1"/>
      <w:numFmt w:val="decimal"/>
      <w:lvlText w:val="%1.%2.%3"/>
      <w:lvlJc w:val="left"/>
      <w:pPr>
        <w:ind w:left="1712" w:hanging="720"/>
      </w:pPr>
      <w:rPr>
        <w:rFonts w:hint="default" w:cs="Times New Roman"/>
      </w:rPr>
    </w:lvl>
    <w:lvl w:ilvl="3" w:tentative="0">
      <w:start w:val="1"/>
      <w:numFmt w:val="decimal"/>
      <w:lvlText w:val="%1.%2.%3.%4"/>
      <w:lvlJc w:val="left"/>
      <w:pPr>
        <w:ind w:left="2208" w:hanging="720"/>
      </w:pPr>
      <w:rPr>
        <w:rFonts w:hint="default" w:cs="Times New Roman"/>
      </w:rPr>
    </w:lvl>
    <w:lvl w:ilvl="4" w:tentative="0">
      <w:start w:val="1"/>
      <w:numFmt w:val="decimal"/>
      <w:lvlText w:val="%1.%2.%3.%4.%5"/>
      <w:lvlJc w:val="left"/>
      <w:pPr>
        <w:ind w:left="3064" w:hanging="1080"/>
      </w:pPr>
      <w:rPr>
        <w:rFonts w:hint="default" w:cs="Times New Roman"/>
      </w:rPr>
    </w:lvl>
    <w:lvl w:ilvl="5" w:tentative="0">
      <w:start w:val="1"/>
      <w:numFmt w:val="decimal"/>
      <w:lvlText w:val="%1.%2.%3.%4.%5.%6"/>
      <w:lvlJc w:val="left"/>
      <w:pPr>
        <w:ind w:left="3560" w:hanging="1080"/>
      </w:pPr>
      <w:rPr>
        <w:rFonts w:hint="default" w:cs="Times New Roman"/>
      </w:rPr>
    </w:lvl>
    <w:lvl w:ilvl="6" w:tentative="0">
      <w:start w:val="1"/>
      <w:numFmt w:val="decimal"/>
      <w:lvlText w:val="%1.%2.%3.%4.%5.%6.%7"/>
      <w:lvlJc w:val="left"/>
      <w:pPr>
        <w:ind w:left="4416" w:hanging="1440"/>
      </w:pPr>
      <w:rPr>
        <w:rFonts w:hint="default" w:cs="Times New Roman"/>
      </w:rPr>
    </w:lvl>
    <w:lvl w:ilvl="7" w:tentative="0">
      <w:start w:val="1"/>
      <w:numFmt w:val="decimal"/>
      <w:lvlText w:val="%1.%2.%3.%4.%5.%6.%7.%8"/>
      <w:lvlJc w:val="left"/>
      <w:pPr>
        <w:ind w:left="4912" w:hanging="1440"/>
      </w:pPr>
      <w:rPr>
        <w:rFonts w:hint="default" w:cs="Times New Roman"/>
      </w:rPr>
    </w:lvl>
    <w:lvl w:ilvl="8" w:tentative="0">
      <w:start w:val="1"/>
      <w:numFmt w:val="decimal"/>
      <w:lvlText w:val="%1.%2.%3.%4.%5.%6.%7.%8.%9"/>
      <w:lvlJc w:val="left"/>
      <w:pPr>
        <w:ind w:left="5768" w:hanging="1800"/>
      </w:pPr>
      <w:rPr>
        <w:rFonts w:hint="default" w:cs="Times New Roman"/>
      </w:rPr>
    </w:lvl>
  </w:abstractNum>
  <w:abstractNum w:abstractNumId="5">
    <w:nsid w:val="571D4917"/>
    <w:multiLevelType w:val="multilevel"/>
    <w:tmpl w:val="571D4917"/>
    <w:lvl w:ilvl="0" w:tentative="0">
      <w:start w:val="6"/>
      <w:numFmt w:val="decimal"/>
      <w:lvlText w:val="%1"/>
      <w:lvlJc w:val="left"/>
      <w:pPr>
        <w:ind w:left="375" w:hanging="375"/>
      </w:pPr>
      <w:rPr>
        <w:rFonts w:hint="default"/>
      </w:rPr>
    </w:lvl>
    <w:lvl w:ilvl="1" w:tentative="0">
      <w:start w:val="11"/>
      <w:numFmt w:val="decimal"/>
      <w:lvlText w:val="%1.%2"/>
      <w:lvlJc w:val="left"/>
      <w:pPr>
        <w:ind w:left="375" w:hanging="3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1800" w:hanging="1800"/>
      </w:pPr>
      <w:rPr>
        <w:rFonts w:hint="default"/>
      </w:rPr>
    </w:lvl>
  </w:abstractNum>
  <w:abstractNum w:abstractNumId="6">
    <w:nsid w:val="58C70088"/>
    <w:multiLevelType w:val="multilevel"/>
    <w:tmpl w:val="58C70088"/>
    <w:lvl w:ilvl="0" w:tentative="0">
      <w:start w:val="1"/>
      <w:numFmt w:val="decimal"/>
      <w:pStyle w:val="56"/>
      <w:lvlText w:val="%1."/>
      <w:lvlJc w:val="left"/>
      <w:pPr>
        <w:ind w:left="502" w:hanging="360"/>
      </w:pPr>
      <w:rPr>
        <w:rFonts w:cs="Times New Roman"/>
        <w:b/>
        <w:i w:val="0"/>
        <w:strike w:val="0"/>
        <w:dstrike w:val="0"/>
      </w:rPr>
    </w:lvl>
    <w:lvl w:ilvl="1" w:tentative="0">
      <w:start w:val="1"/>
      <w:numFmt w:val="decimal"/>
      <w:pStyle w:val="55"/>
      <w:lvlText w:val="%1.%2."/>
      <w:lvlJc w:val="left"/>
      <w:pPr>
        <w:ind w:left="858" w:hanging="432"/>
      </w:pPr>
      <w:rPr>
        <w:rFonts w:cs="Times New Roman"/>
        <w:b w:val="0"/>
        <w:strike w:val="0"/>
      </w:rPr>
    </w:lvl>
    <w:lvl w:ilvl="2" w:tentative="0">
      <w:start w:val="1"/>
      <w:numFmt w:val="decimal"/>
      <w:pStyle w:val="57"/>
      <w:lvlText w:val="%1.%2.%3."/>
      <w:lvlJc w:val="left"/>
      <w:pPr>
        <w:ind w:left="1224" w:hanging="504"/>
      </w:pPr>
      <w:rPr>
        <w:rFonts w:cs="Times New Roman"/>
        <w:i w:val="0"/>
        <w:strike w:val="0"/>
      </w:rPr>
    </w:lvl>
    <w:lvl w:ilvl="3" w:tentative="0">
      <w:start w:val="1"/>
      <w:numFmt w:val="decimal"/>
      <w:pStyle w:val="58"/>
      <w:lvlText w:val="%1.%2.%3.%4."/>
      <w:lvlJc w:val="left"/>
      <w:pPr>
        <w:ind w:left="1728" w:hanging="648"/>
      </w:pPr>
      <w:rPr>
        <w:rFonts w:cs="Times New Roman"/>
      </w:rPr>
    </w:lvl>
    <w:lvl w:ilvl="4" w:tentative="0">
      <w:start w:val="1"/>
      <w:numFmt w:val="decimal"/>
      <w:pStyle w:val="59"/>
      <w:lvlText w:val="%1.%2.%3.%4.%5."/>
      <w:lvlJc w:val="left"/>
      <w:pPr>
        <w:ind w:left="4053" w:hanging="792"/>
      </w:pPr>
      <w:rPr>
        <w:rFonts w:cs="Times New Roman"/>
      </w:rPr>
    </w:lvl>
    <w:lvl w:ilvl="5" w:tentative="0">
      <w:start w:val="1"/>
      <w:numFmt w:val="decimal"/>
      <w:lvlText w:val="%1.%2.%3.%4.%5.%6."/>
      <w:lvlJc w:val="left"/>
      <w:pPr>
        <w:ind w:left="2736" w:hanging="936"/>
      </w:pPr>
      <w:rPr>
        <w:rFonts w:cs="Times New Roman"/>
      </w:rPr>
    </w:lvl>
    <w:lvl w:ilvl="6" w:tentative="0">
      <w:start w:val="1"/>
      <w:numFmt w:val="decimal"/>
      <w:lvlText w:val="%1.%2.%3.%4.%5.%6.%7."/>
      <w:lvlJc w:val="left"/>
      <w:pPr>
        <w:ind w:left="3240" w:hanging="1080"/>
      </w:pPr>
      <w:rPr>
        <w:rFonts w:cs="Times New Roman"/>
      </w:rPr>
    </w:lvl>
    <w:lvl w:ilvl="7" w:tentative="0">
      <w:start w:val="1"/>
      <w:numFmt w:val="decimal"/>
      <w:lvlText w:val="%1.%2.%3.%4.%5.%6.%7.%8."/>
      <w:lvlJc w:val="left"/>
      <w:pPr>
        <w:ind w:left="3744" w:hanging="1224"/>
      </w:pPr>
      <w:rPr>
        <w:rFonts w:cs="Times New Roman"/>
      </w:rPr>
    </w:lvl>
    <w:lvl w:ilvl="8" w:tentative="0">
      <w:start w:val="1"/>
      <w:numFmt w:val="decimal"/>
      <w:lvlText w:val="%1.%2.%3.%4.%5.%6.%7.%8.%9."/>
      <w:lvlJc w:val="left"/>
      <w:pPr>
        <w:ind w:left="4320" w:hanging="1440"/>
      </w:pPr>
      <w:rPr>
        <w:rFonts w:cs="Times New Roman"/>
      </w:rPr>
    </w:lvl>
  </w:abstractNum>
  <w:abstractNum w:abstractNumId="7">
    <w:nsid w:val="79D3778B"/>
    <w:multiLevelType w:val="multilevel"/>
    <w:tmpl w:val="79D3778B"/>
    <w:lvl w:ilvl="0" w:tentative="0">
      <w:start w:val="13"/>
      <w:numFmt w:val="decimal"/>
      <w:lvlText w:val="%1"/>
      <w:lvlJc w:val="left"/>
      <w:pPr>
        <w:ind w:left="360" w:hanging="360"/>
      </w:pPr>
      <w:rPr>
        <w:rFonts w:hint="default" w:cs="Times New Roman"/>
      </w:rPr>
    </w:lvl>
    <w:lvl w:ilvl="1" w:tentative="0">
      <w:start w:val="1"/>
      <w:numFmt w:val="decimal"/>
      <w:lvlText w:val="%1.%2"/>
      <w:lvlJc w:val="left"/>
      <w:pPr>
        <w:ind w:left="785" w:hanging="360"/>
      </w:pPr>
      <w:rPr>
        <w:rFonts w:hint="default" w:cs="Times New Roman"/>
        <w:b w:val="0"/>
      </w:rPr>
    </w:lvl>
    <w:lvl w:ilvl="2" w:tentative="0">
      <w:start w:val="1"/>
      <w:numFmt w:val="decimal"/>
      <w:lvlText w:val="%1.%2.%3"/>
      <w:lvlJc w:val="left"/>
      <w:pPr>
        <w:ind w:left="1854" w:hanging="720"/>
      </w:pPr>
      <w:rPr>
        <w:rFonts w:hint="default" w:cs="Times New Roman"/>
      </w:rPr>
    </w:lvl>
    <w:lvl w:ilvl="3" w:tentative="0">
      <w:start w:val="1"/>
      <w:numFmt w:val="decimal"/>
      <w:lvlText w:val="%1.%2.%3.%4"/>
      <w:lvlJc w:val="left"/>
      <w:pPr>
        <w:ind w:left="2421" w:hanging="720"/>
      </w:pPr>
      <w:rPr>
        <w:rFonts w:hint="default" w:cs="Times New Roman"/>
      </w:rPr>
    </w:lvl>
    <w:lvl w:ilvl="4" w:tentative="0">
      <w:start w:val="1"/>
      <w:numFmt w:val="decimal"/>
      <w:lvlText w:val="%1.%2.%3.%4.%5"/>
      <w:lvlJc w:val="left"/>
      <w:pPr>
        <w:ind w:left="3348" w:hanging="1080"/>
      </w:pPr>
      <w:rPr>
        <w:rFonts w:hint="default" w:cs="Times New Roman"/>
      </w:rPr>
    </w:lvl>
    <w:lvl w:ilvl="5" w:tentative="0">
      <w:start w:val="1"/>
      <w:numFmt w:val="decimal"/>
      <w:lvlText w:val="%1.%2.%3.%4.%5.%6"/>
      <w:lvlJc w:val="left"/>
      <w:pPr>
        <w:ind w:left="3915" w:hanging="1080"/>
      </w:pPr>
      <w:rPr>
        <w:rFonts w:hint="default" w:cs="Times New Roman"/>
      </w:rPr>
    </w:lvl>
    <w:lvl w:ilvl="6" w:tentative="0">
      <w:start w:val="1"/>
      <w:numFmt w:val="decimal"/>
      <w:lvlText w:val="%1.%2.%3.%4.%5.%6.%7"/>
      <w:lvlJc w:val="left"/>
      <w:pPr>
        <w:ind w:left="4842" w:hanging="1440"/>
      </w:pPr>
      <w:rPr>
        <w:rFonts w:hint="default" w:cs="Times New Roman"/>
      </w:rPr>
    </w:lvl>
    <w:lvl w:ilvl="7" w:tentative="0">
      <w:start w:val="1"/>
      <w:numFmt w:val="decimal"/>
      <w:lvlText w:val="%1.%2.%3.%4.%5.%6.%7.%8"/>
      <w:lvlJc w:val="left"/>
      <w:pPr>
        <w:ind w:left="5409" w:hanging="1440"/>
      </w:pPr>
      <w:rPr>
        <w:rFonts w:hint="default" w:cs="Times New Roman"/>
      </w:rPr>
    </w:lvl>
    <w:lvl w:ilvl="8" w:tentative="0">
      <w:start w:val="1"/>
      <w:numFmt w:val="decimal"/>
      <w:lvlText w:val="%1.%2.%3.%4.%5.%6.%7.%8.%9"/>
      <w:lvlJc w:val="left"/>
      <w:pPr>
        <w:ind w:left="6336" w:hanging="1800"/>
      </w:pPr>
      <w:rPr>
        <w:rFonts w:hint="default" w:cs="Times New Roman"/>
      </w:rPr>
    </w:lvl>
  </w:abstractNum>
  <w:num w:numId="1">
    <w:abstractNumId w:val="0"/>
  </w:num>
  <w:num w:numId="2">
    <w:abstractNumId w:val="2"/>
  </w:num>
  <w:num w:numId="3">
    <w:abstractNumId w:val="6"/>
  </w:num>
  <w:num w:numId="4">
    <w:abstractNumId w:val="3"/>
  </w:num>
  <w:num w:numId="5">
    <w:abstractNumId w:val="4"/>
  </w:num>
  <w:num w:numId="6">
    <w:abstractNumId w:val="5"/>
  </w:num>
  <w:num w:numId="7">
    <w:abstractNumId w:val="2"/>
    <w:lvlOverride w:ilvl="0">
      <w:startOverride w:val="7"/>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9"/>
    </w:lvlOverride>
    <w:lvlOverride w:ilvl="1">
      <w:startOverride w:val="5"/>
    </w:lvlOverride>
  </w:num>
  <w:num w:numId="9">
    <w:abstractNumId w:val="1"/>
  </w:num>
  <w:num w:numId="10">
    <w:abstractNumId w:val="7"/>
  </w:num>
  <w:num w:numId="11">
    <w:abstractNumId w:val="2"/>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20"/>
    </w:lvlOverride>
    <w:lvlOverride w:ilvl="1">
      <w:startOverride w:val="1"/>
    </w:lvlOverride>
  </w:num>
  <w:num w:numId="13">
    <w:abstractNumId w:val="2"/>
    <w:lvlOverride w:ilvl="0">
      <w:startOverride w:val="20"/>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mirrorMargin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08"/>
  <w:hyphenationZone w:val="425"/>
  <w:doNotHyphenateCaps/>
  <w:characterSpacingControl w:val="doNotCompress"/>
  <w:doNotValidateAgainstSchema/>
  <w:doNotDemarcateInvalidXml/>
  <w:footnotePr>
    <w:footnote w:id="12"/>
    <w:footnote w:id="13"/>
  </w:footnotePr>
  <w:compat>
    <w:compatSetting w:name="compatibilityMode" w:uri="http://schemas.microsoft.com/office/word" w:val="12"/>
  </w:compat>
  <w:rsids>
    <w:rsidRoot w:val="008251AB"/>
    <w:rsid w:val="00000E05"/>
    <w:rsid w:val="0000236D"/>
    <w:rsid w:val="00003125"/>
    <w:rsid w:val="00003298"/>
    <w:rsid w:val="000066C8"/>
    <w:rsid w:val="00011390"/>
    <w:rsid w:val="000122C1"/>
    <w:rsid w:val="00012A11"/>
    <w:rsid w:val="00014236"/>
    <w:rsid w:val="00014E7A"/>
    <w:rsid w:val="00014FC0"/>
    <w:rsid w:val="00015D4B"/>
    <w:rsid w:val="00020B65"/>
    <w:rsid w:val="000219C5"/>
    <w:rsid w:val="0002260C"/>
    <w:rsid w:val="0002306D"/>
    <w:rsid w:val="00023CDD"/>
    <w:rsid w:val="000242C8"/>
    <w:rsid w:val="00027155"/>
    <w:rsid w:val="00027933"/>
    <w:rsid w:val="00027A5D"/>
    <w:rsid w:val="00030F0C"/>
    <w:rsid w:val="000318BA"/>
    <w:rsid w:val="000321F5"/>
    <w:rsid w:val="000335F5"/>
    <w:rsid w:val="00034A29"/>
    <w:rsid w:val="00035D80"/>
    <w:rsid w:val="00037C97"/>
    <w:rsid w:val="00040957"/>
    <w:rsid w:val="00040D0F"/>
    <w:rsid w:val="00042714"/>
    <w:rsid w:val="0004383E"/>
    <w:rsid w:val="00044CF4"/>
    <w:rsid w:val="000452C7"/>
    <w:rsid w:val="0004586D"/>
    <w:rsid w:val="00047D73"/>
    <w:rsid w:val="00050712"/>
    <w:rsid w:val="00050EA0"/>
    <w:rsid w:val="000518EF"/>
    <w:rsid w:val="000526DD"/>
    <w:rsid w:val="00052C3B"/>
    <w:rsid w:val="00053C27"/>
    <w:rsid w:val="00053E65"/>
    <w:rsid w:val="00055F99"/>
    <w:rsid w:val="00056433"/>
    <w:rsid w:val="00060256"/>
    <w:rsid w:val="00060414"/>
    <w:rsid w:val="00061553"/>
    <w:rsid w:val="00061DA5"/>
    <w:rsid w:val="0006239C"/>
    <w:rsid w:val="00062853"/>
    <w:rsid w:val="000633EF"/>
    <w:rsid w:val="0006419C"/>
    <w:rsid w:val="0006504E"/>
    <w:rsid w:val="0006537A"/>
    <w:rsid w:val="000670EC"/>
    <w:rsid w:val="000677A2"/>
    <w:rsid w:val="000709FF"/>
    <w:rsid w:val="00070EA5"/>
    <w:rsid w:val="00070FD8"/>
    <w:rsid w:val="0007117E"/>
    <w:rsid w:val="00073E63"/>
    <w:rsid w:val="000749A6"/>
    <w:rsid w:val="00075C4A"/>
    <w:rsid w:val="000769BC"/>
    <w:rsid w:val="00076CBC"/>
    <w:rsid w:val="0007709E"/>
    <w:rsid w:val="000779C7"/>
    <w:rsid w:val="00080B53"/>
    <w:rsid w:val="00081098"/>
    <w:rsid w:val="0008276E"/>
    <w:rsid w:val="00082DC7"/>
    <w:rsid w:val="00084F53"/>
    <w:rsid w:val="00086D55"/>
    <w:rsid w:val="00086D9C"/>
    <w:rsid w:val="000872C8"/>
    <w:rsid w:val="00087A91"/>
    <w:rsid w:val="00087CA9"/>
    <w:rsid w:val="00087EF2"/>
    <w:rsid w:val="000902AA"/>
    <w:rsid w:val="00090425"/>
    <w:rsid w:val="00090F5D"/>
    <w:rsid w:val="00091897"/>
    <w:rsid w:val="00092759"/>
    <w:rsid w:val="00094321"/>
    <w:rsid w:val="00094A8E"/>
    <w:rsid w:val="000A102A"/>
    <w:rsid w:val="000A179E"/>
    <w:rsid w:val="000A1A7B"/>
    <w:rsid w:val="000A1B88"/>
    <w:rsid w:val="000A1EAC"/>
    <w:rsid w:val="000A23DA"/>
    <w:rsid w:val="000A4257"/>
    <w:rsid w:val="000A498A"/>
    <w:rsid w:val="000A50B2"/>
    <w:rsid w:val="000A674F"/>
    <w:rsid w:val="000B1626"/>
    <w:rsid w:val="000B1C01"/>
    <w:rsid w:val="000B226F"/>
    <w:rsid w:val="000B283A"/>
    <w:rsid w:val="000B6DF7"/>
    <w:rsid w:val="000B7B55"/>
    <w:rsid w:val="000C052F"/>
    <w:rsid w:val="000C123B"/>
    <w:rsid w:val="000C20BD"/>
    <w:rsid w:val="000C21AD"/>
    <w:rsid w:val="000C2C16"/>
    <w:rsid w:val="000C32BF"/>
    <w:rsid w:val="000C380A"/>
    <w:rsid w:val="000C3E5F"/>
    <w:rsid w:val="000C58F0"/>
    <w:rsid w:val="000C670A"/>
    <w:rsid w:val="000C7441"/>
    <w:rsid w:val="000D2A6B"/>
    <w:rsid w:val="000D2AC3"/>
    <w:rsid w:val="000D4159"/>
    <w:rsid w:val="000D5774"/>
    <w:rsid w:val="000E4C1B"/>
    <w:rsid w:val="000E610F"/>
    <w:rsid w:val="000E6754"/>
    <w:rsid w:val="000E7EB8"/>
    <w:rsid w:val="000F0A2E"/>
    <w:rsid w:val="000F113C"/>
    <w:rsid w:val="000F1290"/>
    <w:rsid w:val="000F1C1C"/>
    <w:rsid w:val="000F2B66"/>
    <w:rsid w:val="000F2D61"/>
    <w:rsid w:val="000F2D6D"/>
    <w:rsid w:val="000F31AA"/>
    <w:rsid w:val="000F4088"/>
    <w:rsid w:val="000F4F96"/>
    <w:rsid w:val="000F5A07"/>
    <w:rsid w:val="000F71C2"/>
    <w:rsid w:val="0010044D"/>
    <w:rsid w:val="00100990"/>
    <w:rsid w:val="00100BD1"/>
    <w:rsid w:val="001011D5"/>
    <w:rsid w:val="00101FED"/>
    <w:rsid w:val="00103461"/>
    <w:rsid w:val="00105707"/>
    <w:rsid w:val="00106B39"/>
    <w:rsid w:val="00110305"/>
    <w:rsid w:val="001103FF"/>
    <w:rsid w:val="00112419"/>
    <w:rsid w:val="00112A6A"/>
    <w:rsid w:val="00112ABD"/>
    <w:rsid w:val="00113EEB"/>
    <w:rsid w:val="00114C63"/>
    <w:rsid w:val="00115429"/>
    <w:rsid w:val="0011575E"/>
    <w:rsid w:val="00120DAD"/>
    <w:rsid w:val="001219B0"/>
    <w:rsid w:val="00121E12"/>
    <w:rsid w:val="00122C50"/>
    <w:rsid w:val="00123A58"/>
    <w:rsid w:val="00124736"/>
    <w:rsid w:val="00124990"/>
    <w:rsid w:val="00124FB7"/>
    <w:rsid w:val="00130495"/>
    <w:rsid w:val="001304C0"/>
    <w:rsid w:val="001305EC"/>
    <w:rsid w:val="001315F2"/>
    <w:rsid w:val="00131850"/>
    <w:rsid w:val="00132231"/>
    <w:rsid w:val="00133148"/>
    <w:rsid w:val="001342C0"/>
    <w:rsid w:val="00134FE4"/>
    <w:rsid w:val="00135CCD"/>
    <w:rsid w:val="0014004B"/>
    <w:rsid w:val="00140A41"/>
    <w:rsid w:val="0014325E"/>
    <w:rsid w:val="00143845"/>
    <w:rsid w:val="00146BDF"/>
    <w:rsid w:val="001516EA"/>
    <w:rsid w:val="0015172D"/>
    <w:rsid w:val="00153E25"/>
    <w:rsid w:val="00154505"/>
    <w:rsid w:val="00154B86"/>
    <w:rsid w:val="00154BF4"/>
    <w:rsid w:val="00154F2F"/>
    <w:rsid w:val="00155F86"/>
    <w:rsid w:val="001562A8"/>
    <w:rsid w:val="00156349"/>
    <w:rsid w:val="0015684D"/>
    <w:rsid w:val="00157D8E"/>
    <w:rsid w:val="00160549"/>
    <w:rsid w:val="00160BBD"/>
    <w:rsid w:val="00160DA4"/>
    <w:rsid w:val="001624A0"/>
    <w:rsid w:val="00163192"/>
    <w:rsid w:val="0016418C"/>
    <w:rsid w:val="001648FB"/>
    <w:rsid w:val="00164CC3"/>
    <w:rsid w:val="0016584A"/>
    <w:rsid w:val="00170CE1"/>
    <w:rsid w:val="00170D49"/>
    <w:rsid w:val="00171DCB"/>
    <w:rsid w:val="0017220A"/>
    <w:rsid w:val="00172A0F"/>
    <w:rsid w:val="00174CAA"/>
    <w:rsid w:val="00174D48"/>
    <w:rsid w:val="00175796"/>
    <w:rsid w:val="001775FA"/>
    <w:rsid w:val="001777C6"/>
    <w:rsid w:val="00177CD5"/>
    <w:rsid w:val="001817D2"/>
    <w:rsid w:val="00181F1C"/>
    <w:rsid w:val="00184086"/>
    <w:rsid w:val="001842A6"/>
    <w:rsid w:val="00184E7C"/>
    <w:rsid w:val="00185F3B"/>
    <w:rsid w:val="0018613B"/>
    <w:rsid w:val="001904A8"/>
    <w:rsid w:val="00191140"/>
    <w:rsid w:val="00193AA5"/>
    <w:rsid w:val="00194866"/>
    <w:rsid w:val="00194F7C"/>
    <w:rsid w:val="001959DA"/>
    <w:rsid w:val="00196990"/>
    <w:rsid w:val="001A0186"/>
    <w:rsid w:val="001A127D"/>
    <w:rsid w:val="001A13FA"/>
    <w:rsid w:val="001A1732"/>
    <w:rsid w:val="001A1ABA"/>
    <w:rsid w:val="001A2B18"/>
    <w:rsid w:val="001A2CE9"/>
    <w:rsid w:val="001A3A05"/>
    <w:rsid w:val="001A3ADF"/>
    <w:rsid w:val="001A3E18"/>
    <w:rsid w:val="001B005B"/>
    <w:rsid w:val="001B092C"/>
    <w:rsid w:val="001B1976"/>
    <w:rsid w:val="001B2538"/>
    <w:rsid w:val="001B2D51"/>
    <w:rsid w:val="001B3448"/>
    <w:rsid w:val="001B6423"/>
    <w:rsid w:val="001B75C1"/>
    <w:rsid w:val="001C11C5"/>
    <w:rsid w:val="001C2C97"/>
    <w:rsid w:val="001C2E71"/>
    <w:rsid w:val="001C3F32"/>
    <w:rsid w:val="001C48B6"/>
    <w:rsid w:val="001C4C04"/>
    <w:rsid w:val="001C5FEE"/>
    <w:rsid w:val="001C694F"/>
    <w:rsid w:val="001C721E"/>
    <w:rsid w:val="001D28CC"/>
    <w:rsid w:val="001D2907"/>
    <w:rsid w:val="001D3305"/>
    <w:rsid w:val="001D3368"/>
    <w:rsid w:val="001D3BA3"/>
    <w:rsid w:val="001D4665"/>
    <w:rsid w:val="001D6EE5"/>
    <w:rsid w:val="001E093F"/>
    <w:rsid w:val="001E1D6B"/>
    <w:rsid w:val="001E2495"/>
    <w:rsid w:val="001E2E97"/>
    <w:rsid w:val="001E3AAF"/>
    <w:rsid w:val="001E40D3"/>
    <w:rsid w:val="001E60BA"/>
    <w:rsid w:val="001F0A6E"/>
    <w:rsid w:val="001F0E4E"/>
    <w:rsid w:val="001F26FB"/>
    <w:rsid w:val="001F39FA"/>
    <w:rsid w:val="001F4C3C"/>
    <w:rsid w:val="001F66DD"/>
    <w:rsid w:val="001F7C89"/>
    <w:rsid w:val="0020019F"/>
    <w:rsid w:val="00200A4B"/>
    <w:rsid w:val="00201F24"/>
    <w:rsid w:val="00202A04"/>
    <w:rsid w:val="00202BFE"/>
    <w:rsid w:val="00204495"/>
    <w:rsid w:val="00205034"/>
    <w:rsid w:val="00205197"/>
    <w:rsid w:val="0020593D"/>
    <w:rsid w:val="00205B37"/>
    <w:rsid w:val="00205F6E"/>
    <w:rsid w:val="00206118"/>
    <w:rsid w:val="00207B98"/>
    <w:rsid w:val="00210001"/>
    <w:rsid w:val="00210135"/>
    <w:rsid w:val="0021106D"/>
    <w:rsid w:val="0021139B"/>
    <w:rsid w:val="00213E2F"/>
    <w:rsid w:val="00220D79"/>
    <w:rsid w:val="00220EEF"/>
    <w:rsid w:val="00220FFE"/>
    <w:rsid w:val="00221BA5"/>
    <w:rsid w:val="00222980"/>
    <w:rsid w:val="002241A2"/>
    <w:rsid w:val="00224992"/>
    <w:rsid w:val="002267BC"/>
    <w:rsid w:val="00227861"/>
    <w:rsid w:val="00230C82"/>
    <w:rsid w:val="00231E9C"/>
    <w:rsid w:val="002322DE"/>
    <w:rsid w:val="00234C77"/>
    <w:rsid w:val="00234CB3"/>
    <w:rsid w:val="00235187"/>
    <w:rsid w:val="00236742"/>
    <w:rsid w:val="00240B17"/>
    <w:rsid w:val="00241680"/>
    <w:rsid w:val="00241D78"/>
    <w:rsid w:val="00246295"/>
    <w:rsid w:val="00246DAE"/>
    <w:rsid w:val="00252859"/>
    <w:rsid w:val="00253319"/>
    <w:rsid w:val="002538B4"/>
    <w:rsid w:val="002538E3"/>
    <w:rsid w:val="00253C18"/>
    <w:rsid w:val="00253EDB"/>
    <w:rsid w:val="0025592E"/>
    <w:rsid w:val="00255C24"/>
    <w:rsid w:val="0025784D"/>
    <w:rsid w:val="00257DB8"/>
    <w:rsid w:val="00260802"/>
    <w:rsid w:val="00261723"/>
    <w:rsid w:val="00261925"/>
    <w:rsid w:val="0026386A"/>
    <w:rsid w:val="002656A2"/>
    <w:rsid w:val="00265B35"/>
    <w:rsid w:val="00267125"/>
    <w:rsid w:val="00267B22"/>
    <w:rsid w:val="00271CB6"/>
    <w:rsid w:val="0027248A"/>
    <w:rsid w:val="0027301A"/>
    <w:rsid w:val="0027381F"/>
    <w:rsid w:val="00276ECC"/>
    <w:rsid w:val="00280224"/>
    <w:rsid w:val="00283540"/>
    <w:rsid w:val="00283D51"/>
    <w:rsid w:val="00285733"/>
    <w:rsid w:val="0028765E"/>
    <w:rsid w:val="00287D22"/>
    <w:rsid w:val="0029037D"/>
    <w:rsid w:val="002923A3"/>
    <w:rsid w:val="002927E7"/>
    <w:rsid w:val="002937D4"/>
    <w:rsid w:val="00293D30"/>
    <w:rsid w:val="002961D6"/>
    <w:rsid w:val="002A0D02"/>
    <w:rsid w:val="002A127F"/>
    <w:rsid w:val="002A19C7"/>
    <w:rsid w:val="002A2822"/>
    <w:rsid w:val="002A4265"/>
    <w:rsid w:val="002A51E3"/>
    <w:rsid w:val="002A6237"/>
    <w:rsid w:val="002B09CF"/>
    <w:rsid w:val="002B0A65"/>
    <w:rsid w:val="002B0CF8"/>
    <w:rsid w:val="002B2A87"/>
    <w:rsid w:val="002B2E88"/>
    <w:rsid w:val="002B2EE9"/>
    <w:rsid w:val="002B3ACD"/>
    <w:rsid w:val="002B5C34"/>
    <w:rsid w:val="002B7520"/>
    <w:rsid w:val="002B7727"/>
    <w:rsid w:val="002B7EB0"/>
    <w:rsid w:val="002C1258"/>
    <w:rsid w:val="002C1E4E"/>
    <w:rsid w:val="002C4E86"/>
    <w:rsid w:val="002C54C1"/>
    <w:rsid w:val="002C72B3"/>
    <w:rsid w:val="002C743C"/>
    <w:rsid w:val="002D07BF"/>
    <w:rsid w:val="002D14AB"/>
    <w:rsid w:val="002D5122"/>
    <w:rsid w:val="002D5CA9"/>
    <w:rsid w:val="002D6926"/>
    <w:rsid w:val="002D6984"/>
    <w:rsid w:val="002D6BF6"/>
    <w:rsid w:val="002D78B4"/>
    <w:rsid w:val="002D7C8E"/>
    <w:rsid w:val="002E15A7"/>
    <w:rsid w:val="002E160F"/>
    <w:rsid w:val="002E276E"/>
    <w:rsid w:val="002E2931"/>
    <w:rsid w:val="002E2B74"/>
    <w:rsid w:val="002E3F91"/>
    <w:rsid w:val="002E480D"/>
    <w:rsid w:val="002E5386"/>
    <w:rsid w:val="002E5F6B"/>
    <w:rsid w:val="002E6499"/>
    <w:rsid w:val="002E649F"/>
    <w:rsid w:val="002F084D"/>
    <w:rsid w:val="002F308B"/>
    <w:rsid w:val="002F3A33"/>
    <w:rsid w:val="002F6672"/>
    <w:rsid w:val="003000BA"/>
    <w:rsid w:val="00303DF2"/>
    <w:rsid w:val="003051D8"/>
    <w:rsid w:val="00306165"/>
    <w:rsid w:val="00306AFF"/>
    <w:rsid w:val="0030718A"/>
    <w:rsid w:val="00307DBE"/>
    <w:rsid w:val="003105D9"/>
    <w:rsid w:val="00310B4A"/>
    <w:rsid w:val="00313B45"/>
    <w:rsid w:val="00313E32"/>
    <w:rsid w:val="0031606B"/>
    <w:rsid w:val="00320345"/>
    <w:rsid w:val="003204AC"/>
    <w:rsid w:val="00322A12"/>
    <w:rsid w:val="00322A3E"/>
    <w:rsid w:val="0032304C"/>
    <w:rsid w:val="003238C3"/>
    <w:rsid w:val="00324BCD"/>
    <w:rsid w:val="00324F30"/>
    <w:rsid w:val="00325023"/>
    <w:rsid w:val="00325FD8"/>
    <w:rsid w:val="003265B9"/>
    <w:rsid w:val="003265FC"/>
    <w:rsid w:val="00327232"/>
    <w:rsid w:val="0033103B"/>
    <w:rsid w:val="00331182"/>
    <w:rsid w:val="00331E87"/>
    <w:rsid w:val="00332AB2"/>
    <w:rsid w:val="0033304B"/>
    <w:rsid w:val="003343F8"/>
    <w:rsid w:val="0033777C"/>
    <w:rsid w:val="0033795C"/>
    <w:rsid w:val="0034018E"/>
    <w:rsid w:val="00340192"/>
    <w:rsid w:val="00340EE0"/>
    <w:rsid w:val="003412B1"/>
    <w:rsid w:val="003415B6"/>
    <w:rsid w:val="00341B71"/>
    <w:rsid w:val="00342CB9"/>
    <w:rsid w:val="00343032"/>
    <w:rsid w:val="00343A5B"/>
    <w:rsid w:val="00343C3E"/>
    <w:rsid w:val="00343FE5"/>
    <w:rsid w:val="00345AA4"/>
    <w:rsid w:val="0034712C"/>
    <w:rsid w:val="00347598"/>
    <w:rsid w:val="00352541"/>
    <w:rsid w:val="0035658A"/>
    <w:rsid w:val="003566E3"/>
    <w:rsid w:val="00360444"/>
    <w:rsid w:val="0036051A"/>
    <w:rsid w:val="003622D6"/>
    <w:rsid w:val="00362847"/>
    <w:rsid w:val="003629E4"/>
    <w:rsid w:val="00364141"/>
    <w:rsid w:val="003648BA"/>
    <w:rsid w:val="003659A4"/>
    <w:rsid w:val="003671ED"/>
    <w:rsid w:val="00367D99"/>
    <w:rsid w:val="00367EF6"/>
    <w:rsid w:val="00370FE8"/>
    <w:rsid w:val="00371E7E"/>
    <w:rsid w:val="00373F2A"/>
    <w:rsid w:val="003751AD"/>
    <w:rsid w:val="0037548B"/>
    <w:rsid w:val="00376A71"/>
    <w:rsid w:val="003779A2"/>
    <w:rsid w:val="003800AF"/>
    <w:rsid w:val="0038139C"/>
    <w:rsid w:val="00381E84"/>
    <w:rsid w:val="0038245E"/>
    <w:rsid w:val="00382798"/>
    <w:rsid w:val="00383CAA"/>
    <w:rsid w:val="003842E9"/>
    <w:rsid w:val="00384DBB"/>
    <w:rsid w:val="00386157"/>
    <w:rsid w:val="00386ADE"/>
    <w:rsid w:val="00386C8D"/>
    <w:rsid w:val="003911FA"/>
    <w:rsid w:val="00391E14"/>
    <w:rsid w:val="00394959"/>
    <w:rsid w:val="003959F6"/>
    <w:rsid w:val="003963D1"/>
    <w:rsid w:val="003A2584"/>
    <w:rsid w:val="003A5367"/>
    <w:rsid w:val="003A54A7"/>
    <w:rsid w:val="003A65E3"/>
    <w:rsid w:val="003A71A0"/>
    <w:rsid w:val="003A73C1"/>
    <w:rsid w:val="003A79B2"/>
    <w:rsid w:val="003B18E9"/>
    <w:rsid w:val="003B2B65"/>
    <w:rsid w:val="003B3F08"/>
    <w:rsid w:val="003B47AE"/>
    <w:rsid w:val="003B5D14"/>
    <w:rsid w:val="003B5FD7"/>
    <w:rsid w:val="003B791E"/>
    <w:rsid w:val="003C11D9"/>
    <w:rsid w:val="003C502C"/>
    <w:rsid w:val="003C609E"/>
    <w:rsid w:val="003C6275"/>
    <w:rsid w:val="003C6CE4"/>
    <w:rsid w:val="003C7C8D"/>
    <w:rsid w:val="003D1078"/>
    <w:rsid w:val="003D129F"/>
    <w:rsid w:val="003D4284"/>
    <w:rsid w:val="003D4382"/>
    <w:rsid w:val="003D4C8B"/>
    <w:rsid w:val="003D5185"/>
    <w:rsid w:val="003D584E"/>
    <w:rsid w:val="003D6109"/>
    <w:rsid w:val="003D6C15"/>
    <w:rsid w:val="003E2477"/>
    <w:rsid w:val="003E4181"/>
    <w:rsid w:val="003E4927"/>
    <w:rsid w:val="003E4D76"/>
    <w:rsid w:val="003E55B1"/>
    <w:rsid w:val="003E74B0"/>
    <w:rsid w:val="003E7DE1"/>
    <w:rsid w:val="003F004A"/>
    <w:rsid w:val="003F092F"/>
    <w:rsid w:val="003F1437"/>
    <w:rsid w:val="003F185C"/>
    <w:rsid w:val="003F1DD8"/>
    <w:rsid w:val="003F2479"/>
    <w:rsid w:val="003F305B"/>
    <w:rsid w:val="003F3197"/>
    <w:rsid w:val="003F36A3"/>
    <w:rsid w:val="003F4255"/>
    <w:rsid w:val="003F5050"/>
    <w:rsid w:val="003F5325"/>
    <w:rsid w:val="003F6883"/>
    <w:rsid w:val="0040443F"/>
    <w:rsid w:val="004053E1"/>
    <w:rsid w:val="00405763"/>
    <w:rsid w:val="00405F14"/>
    <w:rsid w:val="00407F1C"/>
    <w:rsid w:val="004130BD"/>
    <w:rsid w:val="00413DFC"/>
    <w:rsid w:val="0041402E"/>
    <w:rsid w:val="00414DDA"/>
    <w:rsid w:val="00414E65"/>
    <w:rsid w:val="004150EA"/>
    <w:rsid w:val="00415E04"/>
    <w:rsid w:val="00415F27"/>
    <w:rsid w:val="00416A59"/>
    <w:rsid w:val="00417CA8"/>
    <w:rsid w:val="0042021B"/>
    <w:rsid w:val="004202BA"/>
    <w:rsid w:val="0042190C"/>
    <w:rsid w:val="004227E9"/>
    <w:rsid w:val="004230DE"/>
    <w:rsid w:val="00423B4A"/>
    <w:rsid w:val="00425359"/>
    <w:rsid w:val="00425856"/>
    <w:rsid w:val="00427990"/>
    <w:rsid w:val="00430FD9"/>
    <w:rsid w:val="00430FDB"/>
    <w:rsid w:val="00431129"/>
    <w:rsid w:val="004316D7"/>
    <w:rsid w:val="00431740"/>
    <w:rsid w:val="00431C55"/>
    <w:rsid w:val="00431EDA"/>
    <w:rsid w:val="0043231C"/>
    <w:rsid w:val="00432470"/>
    <w:rsid w:val="0043396E"/>
    <w:rsid w:val="00433A09"/>
    <w:rsid w:val="00434018"/>
    <w:rsid w:val="004350B5"/>
    <w:rsid w:val="00435447"/>
    <w:rsid w:val="00441EA1"/>
    <w:rsid w:val="004428BC"/>
    <w:rsid w:val="0044294C"/>
    <w:rsid w:val="004447AD"/>
    <w:rsid w:val="004448EE"/>
    <w:rsid w:val="00445798"/>
    <w:rsid w:val="00446CFC"/>
    <w:rsid w:val="00446E40"/>
    <w:rsid w:val="0044725C"/>
    <w:rsid w:val="00447465"/>
    <w:rsid w:val="00451065"/>
    <w:rsid w:val="0045133B"/>
    <w:rsid w:val="004527B8"/>
    <w:rsid w:val="0045540E"/>
    <w:rsid w:val="00455CBE"/>
    <w:rsid w:val="00455EB7"/>
    <w:rsid w:val="00455FD5"/>
    <w:rsid w:val="004606B9"/>
    <w:rsid w:val="00460E8A"/>
    <w:rsid w:val="004617D7"/>
    <w:rsid w:val="0046230A"/>
    <w:rsid w:val="00462707"/>
    <w:rsid w:val="00462C95"/>
    <w:rsid w:val="0046486A"/>
    <w:rsid w:val="00464D81"/>
    <w:rsid w:val="00464E7E"/>
    <w:rsid w:val="0046697C"/>
    <w:rsid w:val="00466F3B"/>
    <w:rsid w:val="0046744C"/>
    <w:rsid w:val="00471443"/>
    <w:rsid w:val="00472103"/>
    <w:rsid w:val="00476C51"/>
    <w:rsid w:val="00476D61"/>
    <w:rsid w:val="004773FC"/>
    <w:rsid w:val="00480328"/>
    <w:rsid w:val="00482163"/>
    <w:rsid w:val="004834FC"/>
    <w:rsid w:val="00483B15"/>
    <w:rsid w:val="00483FB9"/>
    <w:rsid w:val="00484D23"/>
    <w:rsid w:val="004875F1"/>
    <w:rsid w:val="00491176"/>
    <w:rsid w:val="004919E4"/>
    <w:rsid w:val="00491F90"/>
    <w:rsid w:val="00492C93"/>
    <w:rsid w:val="004938D2"/>
    <w:rsid w:val="00494AE7"/>
    <w:rsid w:val="00494D62"/>
    <w:rsid w:val="00494E37"/>
    <w:rsid w:val="00495FC7"/>
    <w:rsid w:val="0049669A"/>
    <w:rsid w:val="004974F3"/>
    <w:rsid w:val="004A0627"/>
    <w:rsid w:val="004A0CE6"/>
    <w:rsid w:val="004A0E9A"/>
    <w:rsid w:val="004A3794"/>
    <w:rsid w:val="004A55B3"/>
    <w:rsid w:val="004A57D7"/>
    <w:rsid w:val="004A6AA4"/>
    <w:rsid w:val="004A781C"/>
    <w:rsid w:val="004B05B0"/>
    <w:rsid w:val="004B0CAC"/>
    <w:rsid w:val="004B19B5"/>
    <w:rsid w:val="004B1D7D"/>
    <w:rsid w:val="004B2677"/>
    <w:rsid w:val="004B2A75"/>
    <w:rsid w:val="004B460A"/>
    <w:rsid w:val="004B4F03"/>
    <w:rsid w:val="004C0212"/>
    <w:rsid w:val="004C05F9"/>
    <w:rsid w:val="004C126B"/>
    <w:rsid w:val="004C1573"/>
    <w:rsid w:val="004C4681"/>
    <w:rsid w:val="004C4F8F"/>
    <w:rsid w:val="004C5F44"/>
    <w:rsid w:val="004D067A"/>
    <w:rsid w:val="004D110C"/>
    <w:rsid w:val="004D31CA"/>
    <w:rsid w:val="004D38D3"/>
    <w:rsid w:val="004D715C"/>
    <w:rsid w:val="004D7B45"/>
    <w:rsid w:val="004E0194"/>
    <w:rsid w:val="004E1325"/>
    <w:rsid w:val="004E1905"/>
    <w:rsid w:val="004E1E6B"/>
    <w:rsid w:val="004E2308"/>
    <w:rsid w:val="004E2A2E"/>
    <w:rsid w:val="004E32E5"/>
    <w:rsid w:val="004E3BF3"/>
    <w:rsid w:val="004F0A3B"/>
    <w:rsid w:val="004F1294"/>
    <w:rsid w:val="004F1A89"/>
    <w:rsid w:val="004F2445"/>
    <w:rsid w:val="004F56C3"/>
    <w:rsid w:val="004F5DF9"/>
    <w:rsid w:val="004F66B4"/>
    <w:rsid w:val="004F78C6"/>
    <w:rsid w:val="005009C7"/>
    <w:rsid w:val="00501790"/>
    <w:rsid w:val="0050187C"/>
    <w:rsid w:val="0050224C"/>
    <w:rsid w:val="0050340D"/>
    <w:rsid w:val="005037A6"/>
    <w:rsid w:val="005077D1"/>
    <w:rsid w:val="00507986"/>
    <w:rsid w:val="005104ED"/>
    <w:rsid w:val="00510960"/>
    <w:rsid w:val="00510A57"/>
    <w:rsid w:val="005128F7"/>
    <w:rsid w:val="00512C72"/>
    <w:rsid w:val="00512D53"/>
    <w:rsid w:val="00514883"/>
    <w:rsid w:val="0051571F"/>
    <w:rsid w:val="00515BBC"/>
    <w:rsid w:val="005164CD"/>
    <w:rsid w:val="00516B66"/>
    <w:rsid w:val="00516B96"/>
    <w:rsid w:val="00517D94"/>
    <w:rsid w:val="005201AC"/>
    <w:rsid w:val="00520ADF"/>
    <w:rsid w:val="00521DA7"/>
    <w:rsid w:val="00521DFE"/>
    <w:rsid w:val="005236F4"/>
    <w:rsid w:val="00524710"/>
    <w:rsid w:val="005268EB"/>
    <w:rsid w:val="005273E0"/>
    <w:rsid w:val="00527D57"/>
    <w:rsid w:val="0053119E"/>
    <w:rsid w:val="0053132E"/>
    <w:rsid w:val="00532126"/>
    <w:rsid w:val="00532A04"/>
    <w:rsid w:val="00535A68"/>
    <w:rsid w:val="00536AF2"/>
    <w:rsid w:val="0054016D"/>
    <w:rsid w:val="0054077F"/>
    <w:rsid w:val="00541DB9"/>
    <w:rsid w:val="00544A75"/>
    <w:rsid w:val="0054586B"/>
    <w:rsid w:val="00550960"/>
    <w:rsid w:val="005520B4"/>
    <w:rsid w:val="005539FC"/>
    <w:rsid w:val="005555D6"/>
    <w:rsid w:val="00556D01"/>
    <w:rsid w:val="00557405"/>
    <w:rsid w:val="00557438"/>
    <w:rsid w:val="00560149"/>
    <w:rsid w:val="00561AC6"/>
    <w:rsid w:val="00561C04"/>
    <w:rsid w:val="0056213B"/>
    <w:rsid w:val="00562331"/>
    <w:rsid w:val="00562F82"/>
    <w:rsid w:val="0056373B"/>
    <w:rsid w:val="00564913"/>
    <w:rsid w:val="00564978"/>
    <w:rsid w:val="005663FC"/>
    <w:rsid w:val="00566D73"/>
    <w:rsid w:val="00567C15"/>
    <w:rsid w:val="00570B5A"/>
    <w:rsid w:val="0057249A"/>
    <w:rsid w:val="00572663"/>
    <w:rsid w:val="00573BD8"/>
    <w:rsid w:val="005800D8"/>
    <w:rsid w:val="00580430"/>
    <w:rsid w:val="00581492"/>
    <w:rsid w:val="00583996"/>
    <w:rsid w:val="005843A8"/>
    <w:rsid w:val="005846C9"/>
    <w:rsid w:val="005851ED"/>
    <w:rsid w:val="005873FC"/>
    <w:rsid w:val="00590EAF"/>
    <w:rsid w:val="00592A71"/>
    <w:rsid w:val="0059549E"/>
    <w:rsid w:val="00595DA6"/>
    <w:rsid w:val="00595F28"/>
    <w:rsid w:val="00597AC2"/>
    <w:rsid w:val="00597CA8"/>
    <w:rsid w:val="00597FB3"/>
    <w:rsid w:val="005A0202"/>
    <w:rsid w:val="005A29E3"/>
    <w:rsid w:val="005A3B20"/>
    <w:rsid w:val="005A43AB"/>
    <w:rsid w:val="005A445B"/>
    <w:rsid w:val="005A507E"/>
    <w:rsid w:val="005A5A4F"/>
    <w:rsid w:val="005A5C12"/>
    <w:rsid w:val="005A640F"/>
    <w:rsid w:val="005A65CD"/>
    <w:rsid w:val="005A6A91"/>
    <w:rsid w:val="005A750C"/>
    <w:rsid w:val="005B0066"/>
    <w:rsid w:val="005B018E"/>
    <w:rsid w:val="005B07CB"/>
    <w:rsid w:val="005B1D5A"/>
    <w:rsid w:val="005B3094"/>
    <w:rsid w:val="005B41F1"/>
    <w:rsid w:val="005B48F0"/>
    <w:rsid w:val="005B4D36"/>
    <w:rsid w:val="005B5D6A"/>
    <w:rsid w:val="005B785F"/>
    <w:rsid w:val="005C0A2B"/>
    <w:rsid w:val="005C3522"/>
    <w:rsid w:val="005C3930"/>
    <w:rsid w:val="005C3E02"/>
    <w:rsid w:val="005C4291"/>
    <w:rsid w:val="005C4633"/>
    <w:rsid w:val="005C60FF"/>
    <w:rsid w:val="005C76D8"/>
    <w:rsid w:val="005C7D37"/>
    <w:rsid w:val="005D017A"/>
    <w:rsid w:val="005D71B0"/>
    <w:rsid w:val="005D7834"/>
    <w:rsid w:val="005E1321"/>
    <w:rsid w:val="005E2DD4"/>
    <w:rsid w:val="005E587B"/>
    <w:rsid w:val="005E60E9"/>
    <w:rsid w:val="005E6642"/>
    <w:rsid w:val="005E6C5D"/>
    <w:rsid w:val="005E6D43"/>
    <w:rsid w:val="005E75AD"/>
    <w:rsid w:val="005F333B"/>
    <w:rsid w:val="005F51F9"/>
    <w:rsid w:val="005F5D85"/>
    <w:rsid w:val="005F6AE0"/>
    <w:rsid w:val="005F6F64"/>
    <w:rsid w:val="005F72BC"/>
    <w:rsid w:val="005F7566"/>
    <w:rsid w:val="005F76E7"/>
    <w:rsid w:val="005F7808"/>
    <w:rsid w:val="005F7AE3"/>
    <w:rsid w:val="005F7B0A"/>
    <w:rsid w:val="0060036C"/>
    <w:rsid w:val="00600C49"/>
    <w:rsid w:val="00602581"/>
    <w:rsid w:val="00604FCF"/>
    <w:rsid w:val="00605C11"/>
    <w:rsid w:val="00606440"/>
    <w:rsid w:val="00606EDC"/>
    <w:rsid w:val="006078C2"/>
    <w:rsid w:val="00607EFD"/>
    <w:rsid w:val="00611810"/>
    <w:rsid w:val="00613538"/>
    <w:rsid w:val="0061387E"/>
    <w:rsid w:val="00614AA6"/>
    <w:rsid w:val="00614B9F"/>
    <w:rsid w:val="00614D14"/>
    <w:rsid w:val="00615A36"/>
    <w:rsid w:val="006171A9"/>
    <w:rsid w:val="0062051A"/>
    <w:rsid w:val="00623078"/>
    <w:rsid w:val="00623436"/>
    <w:rsid w:val="006243BF"/>
    <w:rsid w:val="00625D3B"/>
    <w:rsid w:val="00626502"/>
    <w:rsid w:val="00627C2F"/>
    <w:rsid w:val="00630464"/>
    <w:rsid w:val="00630BA8"/>
    <w:rsid w:val="00631AA4"/>
    <w:rsid w:val="00632015"/>
    <w:rsid w:val="0063257C"/>
    <w:rsid w:val="00635B69"/>
    <w:rsid w:val="00640F39"/>
    <w:rsid w:val="0064233A"/>
    <w:rsid w:val="006430A0"/>
    <w:rsid w:val="006431A0"/>
    <w:rsid w:val="00644475"/>
    <w:rsid w:val="006477A7"/>
    <w:rsid w:val="00647C0B"/>
    <w:rsid w:val="0065019F"/>
    <w:rsid w:val="00651A2B"/>
    <w:rsid w:val="00651A55"/>
    <w:rsid w:val="00652486"/>
    <w:rsid w:val="006536A3"/>
    <w:rsid w:val="006549BF"/>
    <w:rsid w:val="00655AAF"/>
    <w:rsid w:val="00656A30"/>
    <w:rsid w:val="0066135B"/>
    <w:rsid w:val="00661946"/>
    <w:rsid w:val="00663029"/>
    <w:rsid w:val="00665F03"/>
    <w:rsid w:val="00666139"/>
    <w:rsid w:val="00666776"/>
    <w:rsid w:val="006673E7"/>
    <w:rsid w:val="00667C76"/>
    <w:rsid w:val="00671932"/>
    <w:rsid w:val="00672293"/>
    <w:rsid w:val="006735EB"/>
    <w:rsid w:val="00674964"/>
    <w:rsid w:val="00674D4E"/>
    <w:rsid w:val="00675403"/>
    <w:rsid w:val="00675EF4"/>
    <w:rsid w:val="00677831"/>
    <w:rsid w:val="006779CB"/>
    <w:rsid w:val="00680B7E"/>
    <w:rsid w:val="00683B94"/>
    <w:rsid w:val="00686692"/>
    <w:rsid w:val="006876DE"/>
    <w:rsid w:val="006908D0"/>
    <w:rsid w:val="00693033"/>
    <w:rsid w:val="00693321"/>
    <w:rsid w:val="00694893"/>
    <w:rsid w:val="00694DD9"/>
    <w:rsid w:val="00697671"/>
    <w:rsid w:val="006A0DCA"/>
    <w:rsid w:val="006A0EAB"/>
    <w:rsid w:val="006A12B1"/>
    <w:rsid w:val="006A5F42"/>
    <w:rsid w:val="006A6103"/>
    <w:rsid w:val="006A6690"/>
    <w:rsid w:val="006A6B84"/>
    <w:rsid w:val="006B10ED"/>
    <w:rsid w:val="006B12A2"/>
    <w:rsid w:val="006B156A"/>
    <w:rsid w:val="006B194C"/>
    <w:rsid w:val="006B3C9D"/>
    <w:rsid w:val="006B51B2"/>
    <w:rsid w:val="006C0D78"/>
    <w:rsid w:val="006C17A0"/>
    <w:rsid w:val="006C1BB7"/>
    <w:rsid w:val="006C2CC5"/>
    <w:rsid w:val="006C5AAA"/>
    <w:rsid w:val="006C7300"/>
    <w:rsid w:val="006D04BE"/>
    <w:rsid w:val="006D1B6C"/>
    <w:rsid w:val="006D27E3"/>
    <w:rsid w:val="006D2BFA"/>
    <w:rsid w:val="006D4135"/>
    <w:rsid w:val="006D472D"/>
    <w:rsid w:val="006D6066"/>
    <w:rsid w:val="006D70F2"/>
    <w:rsid w:val="006D780E"/>
    <w:rsid w:val="006D7854"/>
    <w:rsid w:val="006E09F2"/>
    <w:rsid w:val="006E1B4C"/>
    <w:rsid w:val="006E2D9C"/>
    <w:rsid w:val="006E53E9"/>
    <w:rsid w:val="006E5777"/>
    <w:rsid w:val="006E6236"/>
    <w:rsid w:val="006E6299"/>
    <w:rsid w:val="006E721C"/>
    <w:rsid w:val="006E7556"/>
    <w:rsid w:val="006E7565"/>
    <w:rsid w:val="006E786D"/>
    <w:rsid w:val="006F04D0"/>
    <w:rsid w:val="006F0B02"/>
    <w:rsid w:val="006F2599"/>
    <w:rsid w:val="006F3EE2"/>
    <w:rsid w:val="006F55FD"/>
    <w:rsid w:val="006F5EB6"/>
    <w:rsid w:val="006F654A"/>
    <w:rsid w:val="00700CBD"/>
    <w:rsid w:val="00702245"/>
    <w:rsid w:val="007028C7"/>
    <w:rsid w:val="0070379F"/>
    <w:rsid w:val="00704462"/>
    <w:rsid w:val="007049A5"/>
    <w:rsid w:val="007055DF"/>
    <w:rsid w:val="00710C7E"/>
    <w:rsid w:val="00710F3D"/>
    <w:rsid w:val="0071215E"/>
    <w:rsid w:val="007145B4"/>
    <w:rsid w:val="007164C4"/>
    <w:rsid w:val="00716ABD"/>
    <w:rsid w:val="007207DB"/>
    <w:rsid w:val="00726A26"/>
    <w:rsid w:val="0072717B"/>
    <w:rsid w:val="00730973"/>
    <w:rsid w:val="007321C2"/>
    <w:rsid w:val="00733DE0"/>
    <w:rsid w:val="00733F8F"/>
    <w:rsid w:val="007350D8"/>
    <w:rsid w:val="007357C5"/>
    <w:rsid w:val="0073587E"/>
    <w:rsid w:val="00735A52"/>
    <w:rsid w:val="007366D4"/>
    <w:rsid w:val="0074032D"/>
    <w:rsid w:val="007405A7"/>
    <w:rsid w:val="007406E4"/>
    <w:rsid w:val="0074075A"/>
    <w:rsid w:val="00740D25"/>
    <w:rsid w:val="00741328"/>
    <w:rsid w:val="007417B1"/>
    <w:rsid w:val="00746073"/>
    <w:rsid w:val="00747434"/>
    <w:rsid w:val="00747CCD"/>
    <w:rsid w:val="00747D2C"/>
    <w:rsid w:val="0075188F"/>
    <w:rsid w:val="0075354D"/>
    <w:rsid w:val="00754CD6"/>
    <w:rsid w:val="0075654A"/>
    <w:rsid w:val="00756F76"/>
    <w:rsid w:val="0076050E"/>
    <w:rsid w:val="0076088F"/>
    <w:rsid w:val="00761AF2"/>
    <w:rsid w:val="00762241"/>
    <w:rsid w:val="00766275"/>
    <w:rsid w:val="0076696B"/>
    <w:rsid w:val="007679B9"/>
    <w:rsid w:val="007725B4"/>
    <w:rsid w:val="00773785"/>
    <w:rsid w:val="00774D09"/>
    <w:rsid w:val="0077505F"/>
    <w:rsid w:val="00775259"/>
    <w:rsid w:val="00776216"/>
    <w:rsid w:val="007763D6"/>
    <w:rsid w:val="00776572"/>
    <w:rsid w:val="0077738D"/>
    <w:rsid w:val="007774C2"/>
    <w:rsid w:val="00777ADF"/>
    <w:rsid w:val="00777C51"/>
    <w:rsid w:val="00783B5D"/>
    <w:rsid w:val="007876CE"/>
    <w:rsid w:val="00787D28"/>
    <w:rsid w:val="0079000C"/>
    <w:rsid w:val="00790B3E"/>
    <w:rsid w:val="00790D93"/>
    <w:rsid w:val="00791CD7"/>
    <w:rsid w:val="00791F2C"/>
    <w:rsid w:val="00792D22"/>
    <w:rsid w:val="007938B0"/>
    <w:rsid w:val="00793E4E"/>
    <w:rsid w:val="0079430D"/>
    <w:rsid w:val="007953B9"/>
    <w:rsid w:val="0079754C"/>
    <w:rsid w:val="00797573"/>
    <w:rsid w:val="007A1395"/>
    <w:rsid w:val="007A22E9"/>
    <w:rsid w:val="007A24EB"/>
    <w:rsid w:val="007A282D"/>
    <w:rsid w:val="007A3B34"/>
    <w:rsid w:val="007A4F2F"/>
    <w:rsid w:val="007A6B97"/>
    <w:rsid w:val="007A7CE5"/>
    <w:rsid w:val="007B19CE"/>
    <w:rsid w:val="007B1C2F"/>
    <w:rsid w:val="007B1E12"/>
    <w:rsid w:val="007B3771"/>
    <w:rsid w:val="007B4B96"/>
    <w:rsid w:val="007B547C"/>
    <w:rsid w:val="007B63FB"/>
    <w:rsid w:val="007B7A0C"/>
    <w:rsid w:val="007B7C23"/>
    <w:rsid w:val="007B7FFE"/>
    <w:rsid w:val="007C0255"/>
    <w:rsid w:val="007C052A"/>
    <w:rsid w:val="007C09C8"/>
    <w:rsid w:val="007C0C22"/>
    <w:rsid w:val="007C13ED"/>
    <w:rsid w:val="007C1651"/>
    <w:rsid w:val="007C19EA"/>
    <w:rsid w:val="007C22AA"/>
    <w:rsid w:val="007C22CA"/>
    <w:rsid w:val="007C2707"/>
    <w:rsid w:val="007C6623"/>
    <w:rsid w:val="007D075C"/>
    <w:rsid w:val="007D0D04"/>
    <w:rsid w:val="007D16A8"/>
    <w:rsid w:val="007D3572"/>
    <w:rsid w:val="007D3DBA"/>
    <w:rsid w:val="007D3FCB"/>
    <w:rsid w:val="007D501A"/>
    <w:rsid w:val="007D5105"/>
    <w:rsid w:val="007E0632"/>
    <w:rsid w:val="007E0ECD"/>
    <w:rsid w:val="007E103C"/>
    <w:rsid w:val="007E16B4"/>
    <w:rsid w:val="007E300C"/>
    <w:rsid w:val="007E3133"/>
    <w:rsid w:val="007E3995"/>
    <w:rsid w:val="007E39F0"/>
    <w:rsid w:val="007E3F65"/>
    <w:rsid w:val="007E50D9"/>
    <w:rsid w:val="007E5253"/>
    <w:rsid w:val="007E57A5"/>
    <w:rsid w:val="007E5CB8"/>
    <w:rsid w:val="007E61F7"/>
    <w:rsid w:val="007E650F"/>
    <w:rsid w:val="007E68F6"/>
    <w:rsid w:val="007E6B0B"/>
    <w:rsid w:val="007E6EF9"/>
    <w:rsid w:val="007F0511"/>
    <w:rsid w:val="007F2093"/>
    <w:rsid w:val="007F2AE5"/>
    <w:rsid w:val="007F370B"/>
    <w:rsid w:val="007F52E1"/>
    <w:rsid w:val="007F6AB0"/>
    <w:rsid w:val="007F6C9C"/>
    <w:rsid w:val="007F77AD"/>
    <w:rsid w:val="00802670"/>
    <w:rsid w:val="00803615"/>
    <w:rsid w:val="00803805"/>
    <w:rsid w:val="00803F6B"/>
    <w:rsid w:val="00804C68"/>
    <w:rsid w:val="00805337"/>
    <w:rsid w:val="0080582D"/>
    <w:rsid w:val="008059CD"/>
    <w:rsid w:val="0080756C"/>
    <w:rsid w:val="00807FAE"/>
    <w:rsid w:val="008152DB"/>
    <w:rsid w:val="00815792"/>
    <w:rsid w:val="00815EFF"/>
    <w:rsid w:val="008203A8"/>
    <w:rsid w:val="00824831"/>
    <w:rsid w:val="008251AB"/>
    <w:rsid w:val="008256D4"/>
    <w:rsid w:val="00825ABA"/>
    <w:rsid w:val="00831204"/>
    <w:rsid w:val="00831208"/>
    <w:rsid w:val="00831253"/>
    <w:rsid w:val="00835378"/>
    <w:rsid w:val="00835A02"/>
    <w:rsid w:val="00836387"/>
    <w:rsid w:val="00837428"/>
    <w:rsid w:val="0083796E"/>
    <w:rsid w:val="008401D8"/>
    <w:rsid w:val="00840BF1"/>
    <w:rsid w:val="00841859"/>
    <w:rsid w:val="008429CF"/>
    <w:rsid w:val="0084405B"/>
    <w:rsid w:val="008443C4"/>
    <w:rsid w:val="008446E2"/>
    <w:rsid w:val="00844CEC"/>
    <w:rsid w:val="00845630"/>
    <w:rsid w:val="00847070"/>
    <w:rsid w:val="0084708B"/>
    <w:rsid w:val="00847E19"/>
    <w:rsid w:val="00850CD3"/>
    <w:rsid w:val="0085112C"/>
    <w:rsid w:val="0085183E"/>
    <w:rsid w:val="00853766"/>
    <w:rsid w:val="00856476"/>
    <w:rsid w:val="00856B1B"/>
    <w:rsid w:val="00857D58"/>
    <w:rsid w:val="008601A9"/>
    <w:rsid w:val="00860C62"/>
    <w:rsid w:val="00862ACD"/>
    <w:rsid w:val="0086517F"/>
    <w:rsid w:val="00865324"/>
    <w:rsid w:val="00865B0D"/>
    <w:rsid w:val="00866F37"/>
    <w:rsid w:val="00870719"/>
    <w:rsid w:val="00871B33"/>
    <w:rsid w:val="00872647"/>
    <w:rsid w:val="00872949"/>
    <w:rsid w:val="008730BB"/>
    <w:rsid w:val="008748E2"/>
    <w:rsid w:val="008753F7"/>
    <w:rsid w:val="00875695"/>
    <w:rsid w:val="00875E82"/>
    <w:rsid w:val="00877391"/>
    <w:rsid w:val="00877B4E"/>
    <w:rsid w:val="0088058E"/>
    <w:rsid w:val="0088072B"/>
    <w:rsid w:val="00883C32"/>
    <w:rsid w:val="00884CCF"/>
    <w:rsid w:val="00885CDD"/>
    <w:rsid w:val="008874C6"/>
    <w:rsid w:val="00887874"/>
    <w:rsid w:val="00887E41"/>
    <w:rsid w:val="00892D75"/>
    <w:rsid w:val="008941DB"/>
    <w:rsid w:val="00895940"/>
    <w:rsid w:val="008A0E9B"/>
    <w:rsid w:val="008A16EA"/>
    <w:rsid w:val="008A2C5D"/>
    <w:rsid w:val="008A5209"/>
    <w:rsid w:val="008A5DDC"/>
    <w:rsid w:val="008A5FC8"/>
    <w:rsid w:val="008B2929"/>
    <w:rsid w:val="008B31F9"/>
    <w:rsid w:val="008B428B"/>
    <w:rsid w:val="008B47F3"/>
    <w:rsid w:val="008B5B36"/>
    <w:rsid w:val="008B6162"/>
    <w:rsid w:val="008B706F"/>
    <w:rsid w:val="008B7732"/>
    <w:rsid w:val="008C04DF"/>
    <w:rsid w:val="008C082D"/>
    <w:rsid w:val="008C1041"/>
    <w:rsid w:val="008C1880"/>
    <w:rsid w:val="008C1971"/>
    <w:rsid w:val="008C2AD0"/>
    <w:rsid w:val="008C35D6"/>
    <w:rsid w:val="008C4B80"/>
    <w:rsid w:val="008C5036"/>
    <w:rsid w:val="008C56E1"/>
    <w:rsid w:val="008C6874"/>
    <w:rsid w:val="008C73E7"/>
    <w:rsid w:val="008D0E6C"/>
    <w:rsid w:val="008D2AC6"/>
    <w:rsid w:val="008D2CAF"/>
    <w:rsid w:val="008D2DAC"/>
    <w:rsid w:val="008D3ACE"/>
    <w:rsid w:val="008D51CC"/>
    <w:rsid w:val="008D648F"/>
    <w:rsid w:val="008E0CD1"/>
    <w:rsid w:val="008E1CB2"/>
    <w:rsid w:val="008E4F95"/>
    <w:rsid w:val="008E5366"/>
    <w:rsid w:val="008E7B66"/>
    <w:rsid w:val="008F1735"/>
    <w:rsid w:val="008F1FC1"/>
    <w:rsid w:val="008F2238"/>
    <w:rsid w:val="008F34F4"/>
    <w:rsid w:val="008F35DC"/>
    <w:rsid w:val="008F4D52"/>
    <w:rsid w:val="008F4E41"/>
    <w:rsid w:val="008F5276"/>
    <w:rsid w:val="009015BF"/>
    <w:rsid w:val="0090408D"/>
    <w:rsid w:val="00904C80"/>
    <w:rsid w:val="00904E6B"/>
    <w:rsid w:val="00905E74"/>
    <w:rsid w:val="00906EEC"/>
    <w:rsid w:val="00910AE9"/>
    <w:rsid w:val="00913738"/>
    <w:rsid w:val="00913F33"/>
    <w:rsid w:val="00914204"/>
    <w:rsid w:val="00914392"/>
    <w:rsid w:val="009143B2"/>
    <w:rsid w:val="00915C7E"/>
    <w:rsid w:val="009206C0"/>
    <w:rsid w:val="00922606"/>
    <w:rsid w:val="00922D31"/>
    <w:rsid w:val="009248E9"/>
    <w:rsid w:val="0092559F"/>
    <w:rsid w:val="0092607C"/>
    <w:rsid w:val="00930F94"/>
    <w:rsid w:val="00931141"/>
    <w:rsid w:val="00931C86"/>
    <w:rsid w:val="009320AE"/>
    <w:rsid w:val="00933328"/>
    <w:rsid w:val="00935665"/>
    <w:rsid w:val="00935B30"/>
    <w:rsid w:val="00936A4E"/>
    <w:rsid w:val="00936DEF"/>
    <w:rsid w:val="00936E77"/>
    <w:rsid w:val="00937965"/>
    <w:rsid w:val="00940225"/>
    <w:rsid w:val="00940C55"/>
    <w:rsid w:val="00941580"/>
    <w:rsid w:val="00944030"/>
    <w:rsid w:val="00944E0C"/>
    <w:rsid w:val="00945CE8"/>
    <w:rsid w:val="00946D8B"/>
    <w:rsid w:val="00946DD8"/>
    <w:rsid w:val="00950D81"/>
    <w:rsid w:val="009518D1"/>
    <w:rsid w:val="00952A05"/>
    <w:rsid w:val="00952F04"/>
    <w:rsid w:val="009543EB"/>
    <w:rsid w:val="00954978"/>
    <w:rsid w:val="00954B1B"/>
    <w:rsid w:val="00957E39"/>
    <w:rsid w:val="00961FE6"/>
    <w:rsid w:val="009620E6"/>
    <w:rsid w:val="009623AB"/>
    <w:rsid w:val="009631C3"/>
    <w:rsid w:val="00967ED7"/>
    <w:rsid w:val="00970A6B"/>
    <w:rsid w:val="00971171"/>
    <w:rsid w:val="009713C6"/>
    <w:rsid w:val="00971D9B"/>
    <w:rsid w:val="009731EC"/>
    <w:rsid w:val="009732E9"/>
    <w:rsid w:val="009737D9"/>
    <w:rsid w:val="00975875"/>
    <w:rsid w:val="00975E98"/>
    <w:rsid w:val="009763C4"/>
    <w:rsid w:val="00976686"/>
    <w:rsid w:val="009803F1"/>
    <w:rsid w:val="00980BA0"/>
    <w:rsid w:val="009828C6"/>
    <w:rsid w:val="00982964"/>
    <w:rsid w:val="009844F7"/>
    <w:rsid w:val="00984753"/>
    <w:rsid w:val="00984AA1"/>
    <w:rsid w:val="00985462"/>
    <w:rsid w:val="009861AC"/>
    <w:rsid w:val="009863CD"/>
    <w:rsid w:val="009871A7"/>
    <w:rsid w:val="0099079E"/>
    <w:rsid w:val="0099189A"/>
    <w:rsid w:val="00992870"/>
    <w:rsid w:val="00993AB6"/>
    <w:rsid w:val="00993DDC"/>
    <w:rsid w:val="00994079"/>
    <w:rsid w:val="00995FFD"/>
    <w:rsid w:val="00997F4B"/>
    <w:rsid w:val="009A244C"/>
    <w:rsid w:val="009A2BBB"/>
    <w:rsid w:val="009A3612"/>
    <w:rsid w:val="009A4059"/>
    <w:rsid w:val="009A44C8"/>
    <w:rsid w:val="009A45B0"/>
    <w:rsid w:val="009A47BA"/>
    <w:rsid w:val="009A4F5D"/>
    <w:rsid w:val="009A6A6F"/>
    <w:rsid w:val="009A7245"/>
    <w:rsid w:val="009A735F"/>
    <w:rsid w:val="009B07DC"/>
    <w:rsid w:val="009B0C3C"/>
    <w:rsid w:val="009B1B69"/>
    <w:rsid w:val="009B533B"/>
    <w:rsid w:val="009B7570"/>
    <w:rsid w:val="009C005A"/>
    <w:rsid w:val="009C1051"/>
    <w:rsid w:val="009C16FB"/>
    <w:rsid w:val="009C37B1"/>
    <w:rsid w:val="009C37E5"/>
    <w:rsid w:val="009C3B95"/>
    <w:rsid w:val="009C3C80"/>
    <w:rsid w:val="009C470D"/>
    <w:rsid w:val="009C638B"/>
    <w:rsid w:val="009D217F"/>
    <w:rsid w:val="009D3626"/>
    <w:rsid w:val="009D3B66"/>
    <w:rsid w:val="009D68FB"/>
    <w:rsid w:val="009D6C3F"/>
    <w:rsid w:val="009E0172"/>
    <w:rsid w:val="009E04B3"/>
    <w:rsid w:val="009E0DFC"/>
    <w:rsid w:val="009E442B"/>
    <w:rsid w:val="009E462A"/>
    <w:rsid w:val="009E5252"/>
    <w:rsid w:val="009E5B74"/>
    <w:rsid w:val="009E6E9A"/>
    <w:rsid w:val="009E7C14"/>
    <w:rsid w:val="009F094B"/>
    <w:rsid w:val="009F0A01"/>
    <w:rsid w:val="009F0B42"/>
    <w:rsid w:val="009F2178"/>
    <w:rsid w:val="009F3B2B"/>
    <w:rsid w:val="009F3CA2"/>
    <w:rsid w:val="009F419C"/>
    <w:rsid w:val="009F43E0"/>
    <w:rsid w:val="009F62D9"/>
    <w:rsid w:val="00A01D7B"/>
    <w:rsid w:val="00A04583"/>
    <w:rsid w:val="00A04D6C"/>
    <w:rsid w:val="00A055A5"/>
    <w:rsid w:val="00A116EB"/>
    <w:rsid w:val="00A12A7C"/>
    <w:rsid w:val="00A1330E"/>
    <w:rsid w:val="00A138DE"/>
    <w:rsid w:val="00A140F7"/>
    <w:rsid w:val="00A1523E"/>
    <w:rsid w:val="00A15328"/>
    <w:rsid w:val="00A215A8"/>
    <w:rsid w:val="00A21BFC"/>
    <w:rsid w:val="00A22790"/>
    <w:rsid w:val="00A23838"/>
    <w:rsid w:val="00A23944"/>
    <w:rsid w:val="00A25C31"/>
    <w:rsid w:val="00A25FA0"/>
    <w:rsid w:val="00A2678B"/>
    <w:rsid w:val="00A31A3C"/>
    <w:rsid w:val="00A320C1"/>
    <w:rsid w:val="00A32E8A"/>
    <w:rsid w:val="00A33257"/>
    <w:rsid w:val="00A33F37"/>
    <w:rsid w:val="00A34A91"/>
    <w:rsid w:val="00A35C5C"/>
    <w:rsid w:val="00A35E6A"/>
    <w:rsid w:val="00A36AB7"/>
    <w:rsid w:val="00A374EB"/>
    <w:rsid w:val="00A402A1"/>
    <w:rsid w:val="00A42797"/>
    <w:rsid w:val="00A44175"/>
    <w:rsid w:val="00A45A85"/>
    <w:rsid w:val="00A475B0"/>
    <w:rsid w:val="00A477AC"/>
    <w:rsid w:val="00A50D22"/>
    <w:rsid w:val="00A512C3"/>
    <w:rsid w:val="00A5223C"/>
    <w:rsid w:val="00A528B0"/>
    <w:rsid w:val="00A54E22"/>
    <w:rsid w:val="00A55140"/>
    <w:rsid w:val="00A5650C"/>
    <w:rsid w:val="00A571FE"/>
    <w:rsid w:val="00A57DDC"/>
    <w:rsid w:val="00A60300"/>
    <w:rsid w:val="00A60395"/>
    <w:rsid w:val="00A61836"/>
    <w:rsid w:val="00A6287E"/>
    <w:rsid w:val="00A645D5"/>
    <w:rsid w:val="00A64A3F"/>
    <w:rsid w:val="00A66868"/>
    <w:rsid w:val="00A6710A"/>
    <w:rsid w:val="00A67210"/>
    <w:rsid w:val="00A67354"/>
    <w:rsid w:val="00A71593"/>
    <w:rsid w:val="00A7181F"/>
    <w:rsid w:val="00A72644"/>
    <w:rsid w:val="00A72B79"/>
    <w:rsid w:val="00A737C9"/>
    <w:rsid w:val="00A73985"/>
    <w:rsid w:val="00A73BD7"/>
    <w:rsid w:val="00A73C14"/>
    <w:rsid w:val="00A742C7"/>
    <w:rsid w:val="00A7453E"/>
    <w:rsid w:val="00A753C0"/>
    <w:rsid w:val="00A75510"/>
    <w:rsid w:val="00A771BC"/>
    <w:rsid w:val="00A77C2C"/>
    <w:rsid w:val="00A80062"/>
    <w:rsid w:val="00A8095B"/>
    <w:rsid w:val="00A81CFC"/>
    <w:rsid w:val="00A82146"/>
    <w:rsid w:val="00A8446C"/>
    <w:rsid w:val="00A856EB"/>
    <w:rsid w:val="00A9022E"/>
    <w:rsid w:val="00A902D4"/>
    <w:rsid w:val="00A91F9B"/>
    <w:rsid w:val="00A9408B"/>
    <w:rsid w:val="00A9464D"/>
    <w:rsid w:val="00A94974"/>
    <w:rsid w:val="00A9539C"/>
    <w:rsid w:val="00A95683"/>
    <w:rsid w:val="00A9641B"/>
    <w:rsid w:val="00A96E34"/>
    <w:rsid w:val="00AA1165"/>
    <w:rsid w:val="00AA1480"/>
    <w:rsid w:val="00AA1E32"/>
    <w:rsid w:val="00AA2A10"/>
    <w:rsid w:val="00AA3627"/>
    <w:rsid w:val="00AA397F"/>
    <w:rsid w:val="00AA3F31"/>
    <w:rsid w:val="00AA4625"/>
    <w:rsid w:val="00AA50C4"/>
    <w:rsid w:val="00AA5517"/>
    <w:rsid w:val="00AA5876"/>
    <w:rsid w:val="00AA65DB"/>
    <w:rsid w:val="00AB1F1A"/>
    <w:rsid w:val="00AB31D7"/>
    <w:rsid w:val="00AB53E4"/>
    <w:rsid w:val="00AB5467"/>
    <w:rsid w:val="00AC0F97"/>
    <w:rsid w:val="00AC2BEF"/>
    <w:rsid w:val="00AC2F08"/>
    <w:rsid w:val="00AC35B2"/>
    <w:rsid w:val="00AC465C"/>
    <w:rsid w:val="00AC4F34"/>
    <w:rsid w:val="00AC6EC2"/>
    <w:rsid w:val="00AD13C0"/>
    <w:rsid w:val="00AD1F3E"/>
    <w:rsid w:val="00AD2036"/>
    <w:rsid w:val="00AD22E3"/>
    <w:rsid w:val="00AD4439"/>
    <w:rsid w:val="00AD76F2"/>
    <w:rsid w:val="00AD7D03"/>
    <w:rsid w:val="00AE0EE3"/>
    <w:rsid w:val="00AE1224"/>
    <w:rsid w:val="00AE12C5"/>
    <w:rsid w:val="00AE18A3"/>
    <w:rsid w:val="00AE3A4B"/>
    <w:rsid w:val="00AE3A63"/>
    <w:rsid w:val="00AE4755"/>
    <w:rsid w:val="00AE5416"/>
    <w:rsid w:val="00AE5435"/>
    <w:rsid w:val="00AE645C"/>
    <w:rsid w:val="00AF2918"/>
    <w:rsid w:val="00AF35C3"/>
    <w:rsid w:val="00AF3ABE"/>
    <w:rsid w:val="00AF6286"/>
    <w:rsid w:val="00AF6959"/>
    <w:rsid w:val="00AF7AC8"/>
    <w:rsid w:val="00B00520"/>
    <w:rsid w:val="00B00B25"/>
    <w:rsid w:val="00B00F8E"/>
    <w:rsid w:val="00B014D0"/>
    <w:rsid w:val="00B0318A"/>
    <w:rsid w:val="00B03B39"/>
    <w:rsid w:val="00B03CB0"/>
    <w:rsid w:val="00B041A9"/>
    <w:rsid w:val="00B04350"/>
    <w:rsid w:val="00B0465E"/>
    <w:rsid w:val="00B05CBC"/>
    <w:rsid w:val="00B06A70"/>
    <w:rsid w:val="00B06B41"/>
    <w:rsid w:val="00B06D0F"/>
    <w:rsid w:val="00B076BD"/>
    <w:rsid w:val="00B1218F"/>
    <w:rsid w:val="00B122CE"/>
    <w:rsid w:val="00B13262"/>
    <w:rsid w:val="00B14140"/>
    <w:rsid w:val="00B145CD"/>
    <w:rsid w:val="00B14791"/>
    <w:rsid w:val="00B14C20"/>
    <w:rsid w:val="00B16238"/>
    <w:rsid w:val="00B21628"/>
    <w:rsid w:val="00B2251A"/>
    <w:rsid w:val="00B23F81"/>
    <w:rsid w:val="00B23F8B"/>
    <w:rsid w:val="00B24204"/>
    <w:rsid w:val="00B24EB1"/>
    <w:rsid w:val="00B27724"/>
    <w:rsid w:val="00B30BC2"/>
    <w:rsid w:val="00B30C63"/>
    <w:rsid w:val="00B30F3D"/>
    <w:rsid w:val="00B315B3"/>
    <w:rsid w:val="00B31645"/>
    <w:rsid w:val="00B34514"/>
    <w:rsid w:val="00B34550"/>
    <w:rsid w:val="00B34F46"/>
    <w:rsid w:val="00B35482"/>
    <w:rsid w:val="00B3755C"/>
    <w:rsid w:val="00B37837"/>
    <w:rsid w:val="00B379BC"/>
    <w:rsid w:val="00B37F7E"/>
    <w:rsid w:val="00B408E1"/>
    <w:rsid w:val="00B42043"/>
    <w:rsid w:val="00B432A0"/>
    <w:rsid w:val="00B45473"/>
    <w:rsid w:val="00B457B8"/>
    <w:rsid w:val="00B4738B"/>
    <w:rsid w:val="00B476AF"/>
    <w:rsid w:val="00B517F7"/>
    <w:rsid w:val="00B51EBF"/>
    <w:rsid w:val="00B52AFC"/>
    <w:rsid w:val="00B52EFE"/>
    <w:rsid w:val="00B56016"/>
    <w:rsid w:val="00B60331"/>
    <w:rsid w:val="00B60A8A"/>
    <w:rsid w:val="00B60DCA"/>
    <w:rsid w:val="00B62DE1"/>
    <w:rsid w:val="00B62E09"/>
    <w:rsid w:val="00B6305A"/>
    <w:rsid w:val="00B6369D"/>
    <w:rsid w:val="00B63C73"/>
    <w:rsid w:val="00B642C5"/>
    <w:rsid w:val="00B65B7E"/>
    <w:rsid w:val="00B66F3E"/>
    <w:rsid w:val="00B672B3"/>
    <w:rsid w:val="00B678DB"/>
    <w:rsid w:val="00B712C3"/>
    <w:rsid w:val="00B7310B"/>
    <w:rsid w:val="00B7367C"/>
    <w:rsid w:val="00B739F0"/>
    <w:rsid w:val="00B76DB6"/>
    <w:rsid w:val="00B76EA0"/>
    <w:rsid w:val="00B77761"/>
    <w:rsid w:val="00B77DBF"/>
    <w:rsid w:val="00B80269"/>
    <w:rsid w:val="00B8044D"/>
    <w:rsid w:val="00B810DF"/>
    <w:rsid w:val="00B81FBB"/>
    <w:rsid w:val="00B823AE"/>
    <w:rsid w:val="00B832B4"/>
    <w:rsid w:val="00B84851"/>
    <w:rsid w:val="00B85414"/>
    <w:rsid w:val="00B859F0"/>
    <w:rsid w:val="00B902B9"/>
    <w:rsid w:val="00B90708"/>
    <w:rsid w:val="00B910E0"/>
    <w:rsid w:val="00B91D5B"/>
    <w:rsid w:val="00B92C59"/>
    <w:rsid w:val="00B93BA2"/>
    <w:rsid w:val="00B94B9D"/>
    <w:rsid w:val="00B94E06"/>
    <w:rsid w:val="00B95B21"/>
    <w:rsid w:val="00B95BFE"/>
    <w:rsid w:val="00B96C22"/>
    <w:rsid w:val="00B972D3"/>
    <w:rsid w:val="00BA0965"/>
    <w:rsid w:val="00BA1705"/>
    <w:rsid w:val="00BA2132"/>
    <w:rsid w:val="00BA30C0"/>
    <w:rsid w:val="00BA3224"/>
    <w:rsid w:val="00BA456F"/>
    <w:rsid w:val="00BA5352"/>
    <w:rsid w:val="00BA649F"/>
    <w:rsid w:val="00BA659C"/>
    <w:rsid w:val="00BA7C4B"/>
    <w:rsid w:val="00BB1260"/>
    <w:rsid w:val="00BB3069"/>
    <w:rsid w:val="00BB4389"/>
    <w:rsid w:val="00BB61BE"/>
    <w:rsid w:val="00BC1712"/>
    <w:rsid w:val="00BC1F08"/>
    <w:rsid w:val="00BC22AB"/>
    <w:rsid w:val="00BC2360"/>
    <w:rsid w:val="00BC2797"/>
    <w:rsid w:val="00BC2F58"/>
    <w:rsid w:val="00BC4189"/>
    <w:rsid w:val="00BC4227"/>
    <w:rsid w:val="00BC4340"/>
    <w:rsid w:val="00BC54CD"/>
    <w:rsid w:val="00BC56F5"/>
    <w:rsid w:val="00BC615D"/>
    <w:rsid w:val="00BC6CD8"/>
    <w:rsid w:val="00BD1366"/>
    <w:rsid w:val="00BD1AC1"/>
    <w:rsid w:val="00BD1D46"/>
    <w:rsid w:val="00BD3419"/>
    <w:rsid w:val="00BD43E5"/>
    <w:rsid w:val="00BD5479"/>
    <w:rsid w:val="00BD57EF"/>
    <w:rsid w:val="00BD59E3"/>
    <w:rsid w:val="00BD771F"/>
    <w:rsid w:val="00BD7FD7"/>
    <w:rsid w:val="00BE0315"/>
    <w:rsid w:val="00BE05F0"/>
    <w:rsid w:val="00BE091A"/>
    <w:rsid w:val="00BE1542"/>
    <w:rsid w:val="00BE1772"/>
    <w:rsid w:val="00BE1DEB"/>
    <w:rsid w:val="00BE438F"/>
    <w:rsid w:val="00BF0A46"/>
    <w:rsid w:val="00BF0E8E"/>
    <w:rsid w:val="00BF1A7F"/>
    <w:rsid w:val="00BF3E91"/>
    <w:rsid w:val="00BF561D"/>
    <w:rsid w:val="00BF70EF"/>
    <w:rsid w:val="00BF7776"/>
    <w:rsid w:val="00C00474"/>
    <w:rsid w:val="00C00F37"/>
    <w:rsid w:val="00C02A99"/>
    <w:rsid w:val="00C03F51"/>
    <w:rsid w:val="00C06741"/>
    <w:rsid w:val="00C10CC7"/>
    <w:rsid w:val="00C111ED"/>
    <w:rsid w:val="00C11DF8"/>
    <w:rsid w:val="00C13225"/>
    <w:rsid w:val="00C136A2"/>
    <w:rsid w:val="00C14C86"/>
    <w:rsid w:val="00C15313"/>
    <w:rsid w:val="00C15A5F"/>
    <w:rsid w:val="00C17715"/>
    <w:rsid w:val="00C208D8"/>
    <w:rsid w:val="00C229F8"/>
    <w:rsid w:val="00C2369A"/>
    <w:rsid w:val="00C25365"/>
    <w:rsid w:val="00C25B02"/>
    <w:rsid w:val="00C31CF1"/>
    <w:rsid w:val="00C322F1"/>
    <w:rsid w:val="00C33284"/>
    <w:rsid w:val="00C33F76"/>
    <w:rsid w:val="00C34398"/>
    <w:rsid w:val="00C343E5"/>
    <w:rsid w:val="00C351A6"/>
    <w:rsid w:val="00C35A4C"/>
    <w:rsid w:val="00C35E0D"/>
    <w:rsid w:val="00C371FA"/>
    <w:rsid w:val="00C377A2"/>
    <w:rsid w:val="00C403F2"/>
    <w:rsid w:val="00C431F1"/>
    <w:rsid w:val="00C44059"/>
    <w:rsid w:val="00C46F61"/>
    <w:rsid w:val="00C47598"/>
    <w:rsid w:val="00C47BB2"/>
    <w:rsid w:val="00C47CC5"/>
    <w:rsid w:val="00C51A32"/>
    <w:rsid w:val="00C51C28"/>
    <w:rsid w:val="00C53456"/>
    <w:rsid w:val="00C53E6D"/>
    <w:rsid w:val="00C55EA7"/>
    <w:rsid w:val="00C60C2D"/>
    <w:rsid w:val="00C6162E"/>
    <w:rsid w:val="00C62E87"/>
    <w:rsid w:val="00C63BAF"/>
    <w:rsid w:val="00C65399"/>
    <w:rsid w:val="00C653BD"/>
    <w:rsid w:val="00C65917"/>
    <w:rsid w:val="00C65D36"/>
    <w:rsid w:val="00C70043"/>
    <w:rsid w:val="00C71B5B"/>
    <w:rsid w:val="00C7208D"/>
    <w:rsid w:val="00C721DE"/>
    <w:rsid w:val="00C73861"/>
    <w:rsid w:val="00C7432C"/>
    <w:rsid w:val="00C75791"/>
    <w:rsid w:val="00C75F30"/>
    <w:rsid w:val="00C76304"/>
    <w:rsid w:val="00C76427"/>
    <w:rsid w:val="00C76B39"/>
    <w:rsid w:val="00C77F90"/>
    <w:rsid w:val="00C80554"/>
    <w:rsid w:val="00C84955"/>
    <w:rsid w:val="00C84A39"/>
    <w:rsid w:val="00C85867"/>
    <w:rsid w:val="00C85FED"/>
    <w:rsid w:val="00C86467"/>
    <w:rsid w:val="00C87199"/>
    <w:rsid w:val="00C912FD"/>
    <w:rsid w:val="00C9420C"/>
    <w:rsid w:val="00C95C72"/>
    <w:rsid w:val="00C95FE9"/>
    <w:rsid w:val="00C96B86"/>
    <w:rsid w:val="00C971F9"/>
    <w:rsid w:val="00C97DF7"/>
    <w:rsid w:val="00CA14C9"/>
    <w:rsid w:val="00CA1A6A"/>
    <w:rsid w:val="00CA22E9"/>
    <w:rsid w:val="00CA24FB"/>
    <w:rsid w:val="00CA27D6"/>
    <w:rsid w:val="00CA3B87"/>
    <w:rsid w:val="00CA5360"/>
    <w:rsid w:val="00CA6108"/>
    <w:rsid w:val="00CA64D5"/>
    <w:rsid w:val="00CB1877"/>
    <w:rsid w:val="00CB3201"/>
    <w:rsid w:val="00CB3415"/>
    <w:rsid w:val="00CB4329"/>
    <w:rsid w:val="00CB6290"/>
    <w:rsid w:val="00CB766B"/>
    <w:rsid w:val="00CC191C"/>
    <w:rsid w:val="00CC356D"/>
    <w:rsid w:val="00CC3FEB"/>
    <w:rsid w:val="00CC4B07"/>
    <w:rsid w:val="00CC60D0"/>
    <w:rsid w:val="00CC6F87"/>
    <w:rsid w:val="00CD0EF3"/>
    <w:rsid w:val="00CD109D"/>
    <w:rsid w:val="00CD1E9D"/>
    <w:rsid w:val="00CD2D54"/>
    <w:rsid w:val="00CD5288"/>
    <w:rsid w:val="00CD66E6"/>
    <w:rsid w:val="00CD6ABB"/>
    <w:rsid w:val="00CE0FB3"/>
    <w:rsid w:val="00CE1983"/>
    <w:rsid w:val="00CE2175"/>
    <w:rsid w:val="00CE2909"/>
    <w:rsid w:val="00CE417B"/>
    <w:rsid w:val="00CE4C41"/>
    <w:rsid w:val="00CE53E5"/>
    <w:rsid w:val="00CE5CAF"/>
    <w:rsid w:val="00CE5CF2"/>
    <w:rsid w:val="00CE6F51"/>
    <w:rsid w:val="00CE71E9"/>
    <w:rsid w:val="00CF2572"/>
    <w:rsid w:val="00CF25A1"/>
    <w:rsid w:val="00CF2FFE"/>
    <w:rsid w:val="00CF3124"/>
    <w:rsid w:val="00CF461F"/>
    <w:rsid w:val="00CF6B77"/>
    <w:rsid w:val="00CF71E3"/>
    <w:rsid w:val="00D00A5D"/>
    <w:rsid w:val="00D00A87"/>
    <w:rsid w:val="00D01354"/>
    <w:rsid w:val="00D01910"/>
    <w:rsid w:val="00D02B1F"/>
    <w:rsid w:val="00D02F2F"/>
    <w:rsid w:val="00D03CB9"/>
    <w:rsid w:val="00D0428B"/>
    <w:rsid w:val="00D05411"/>
    <w:rsid w:val="00D055F6"/>
    <w:rsid w:val="00D06476"/>
    <w:rsid w:val="00D06995"/>
    <w:rsid w:val="00D13087"/>
    <w:rsid w:val="00D16FA0"/>
    <w:rsid w:val="00D17378"/>
    <w:rsid w:val="00D214C8"/>
    <w:rsid w:val="00D216B2"/>
    <w:rsid w:val="00D26479"/>
    <w:rsid w:val="00D26DCE"/>
    <w:rsid w:val="00D27D7D"/>
    <w:rsid w:val="00D319AD"/>
    <w:rsid w:val="00D3275F"/>
    <w:rsid w:val="00D341F3"/>
    <w:rsid w:val="00D34548"/>
    <w:rsid w:val="00D34914"/>
    <w:rsid w:val="00D3536D"/>
    <w:rsid w:val="00D37A37"/>
    <w:rsid w:val="00D4128C"/>
    <w:rsid w:val="00D4411B"/>
    <w:rsid w:val="00D44EC6"/>
    <w:rsid w:val="00D5123F"/>
    <w:rsid w:val="00D5130A"/>
    <w:rsid w:val="00D51533"/>
    <w:rsid w:val="00D51769"/>
    <w:rsid w:val="00D51880"/>
    <w:rsid w:val="00D522D8"/>
    <w:rsid w:val="00D5491C"/>
    <w:rsid w:val="00D54CCF"/>
    <w:rsid w:val="00D55134"/>
    <w:rsid w:val="00D55236"/>
    <w:rsid w:val="00D554E8"/>
    <w:rsid w:val="00D55E12"/>
    <w:rsid w:val="00D5748E"/>
    <w:rsid w:val="00D612A9"/>
    <w:rsid w:val="00D6411E"/>
    <w:rsid w:val="00D64482"/>
    <w:rsid w:val="00D66935"/>
    <w:rsid w:val="00D706E7"/>
    <w:rsid w:val="00D735D0"/>
    <w:rsid w:val="00D80021"/>
    <w:rsid w:val="00D84C22"/>
    <w:rsid w:val="00D858D9"/>
    <w:rsid w:val="00D863F3"/>
    <w:rsid w:val="00D8724C"/>
    <w:rsid w:val="00D87E37"/>
    <w:rsid w:val="00D93004"/>
    <w:rsid w:val="00D93711"/>
    <w:rsid w:val="00D938C1"/>
    <w:rsid w:val="00D942C4"/>
    <w:rsid w:val="00D95080"/>
    <w:rsid w:val="00D96D2A"/>
    <w:rsid w:val="00DA0641"/>
    <w:rsid w:val="00DA2C76"/>
    <w:rsid w:val="00DA466E"/>
    <w:rsid w:val="00DA47A8"/>
    <w:rsid w:val="00DA7D61"/>
    <w:rsid w:val="00DB1890"/>
    <w:rsid w:val="00DB3592"/>
    <w:rsid w:val="00DB403D"/>
    <w:rsid w:val="00DB47E5"/>
    <w:rsid w:val="00DB4C93"/>
    <w:rsid w:val="00DB5421"/>
    <w:rsid w:val="00DB64F4"/>
    <w:rsid w:val="00DB6C1D"/>
    <w:rsid w:val="00DC1622"/>
    <w:rsid w:val="00DC2894"/>
    <w:rsid w:val="00DC3F8A"/>
    <w:rsid w:val="00DC795E"/>
    <w:rsid w:val="00DD1537"/>
    <w:rsid w:val="00DD3A14"/>
    <w:rsid w:val="00DD46E9"/>
    <w:rsid w:val="00DD59F4"/>
    <w:rsid w:val="00DD740A"/>
    <w:rsid w:val="00DD7F26"/>
    <w:rsid w:val="00DE0D00"/>
    <w:rsid w:val="00DE16CD"/>
    <w:rsid w:val="00DE6492"/>
    <w:rsid w:val="00DF280B"/>
    <w:rsid w:val="00DF28B7"/>
    <w:rsid w:val="00DF3079"/>
    <w:rsid w:val="00DF3345"/>
    <w:rsid w:val="00DF5F6C"/>
    <w:rsid w:val="00DF68C0"/>
    <w:rsid w:val="00DF7650"/>
    <w:rsid w:val="00DF7F5A"/>
    <w:rsid w:val="00E00332"/>
    <w:rsid w:val="00E00FFD"/>
    <w:rsid w:val="00E02A02"/>
    <w:rsid w:val="00E033EE"/>
    <w:rsid w:val="00E04590"/>
    <w:rsid w:val="00E04C02"/>
    <w:rsid w:val="00E053B2"/>
    <w:rsid w:val="00E0617A"/>
    <w:rsid w:val="00E064D3"/>
    <w:rsid w:val="00E06595"/>
    <w:rsid w:val="00E12316"/>
    <w:rsid w:val="00E1277F"/>
    <w:rsid w:val="00E139D5"/>
    <w:rsid w:val="00E14CA5"/>
    <w:rsid w:val="00E15202"/>
    <w:rsid w:val="00E152DF"/>
    <w:rsid w:val="00E15505"/>
    <w:rsid w:val="00E22D1B"/>
    <w:rsid w:val="00E235F5"/>
    <w:rsid w:val="00E23783"/>
    <w:rsid w:val="00E256E5"/>
    <w:rsid w:val="00E26411"/>
    <w:rsid w:val="00E27AE8"/>
    <w:rsid w:val="00E3008F"/>
    <w:rsid w:val="00E307B6"/>
    <w:rsid w:val="00E32E9C"/>
    <w:rsid w:val="00E3451C"/>
    <w:rsid w:val="00E34EBE"/>
    <w:rsid w:val="00E34F85"/>
    <w:rsid w:val="00E3524B"/>
    <w:rsid w:val="00E41910"/>
    <w:rsid w:val="00E4196F"/>
    <w:rsid w:val="00E41A87"/>
    <w:rsid w:val="00E41AD6"/>
    <w:rsid w:val="00E42017"/>
    <w:rsid w:val="00E42730"/>
    <w:rsid w:val="00E43192"/>
    <w:rsid w:val="00E43BAE"/>
    <w:rsid w:val="00E45AB1"/>
    <w:rsid w:val="00E45C81"/>
    <w:rsid w:val="00E46268"/>
    <w:rsid w:val="00E462F2"/>
    <w:rsid w:val="00E528F9"/>
    <w:rsid w:val="00E53522"/>
    <w:rsid w:val="00E53FFC"/>
    <w:rsid w:val="00E55854"/>
    <w:rsid w:val="00E56707"/>
    <w:rsid w:val="00E57255"/>
    <w:rsid w:val="00E57739"/>
    <w:rsid w:val="00E628AD"/>
    <w:rsid w:val="00E62908"/>
    <w:rsid w:val="00E64339"/>
    <w:rsid w:val="00E65E10"/>
    <w:rsid w:val="00E677BD"/>
    <w:rsid w:val="00E708BC"/>
    <w:rsid w:val="00E70C44"/>
    <w:rsid w:val="00E72B6E"/>
    <w:rsid w:val="00E743FB"/>
    <w:rsid w:val="00E74B6D"/>
    <w:rsid w:val="00E775E3"/>
    <w:rsid w:val="00E84570"/>
    <w:rsid w:val="00E8487A"/>
    <w:rsid w:val="00E872A7"/>
    <w:rsid w:val="00E87DDE"/>
    <w:rsid w:val="00E901AB"/>
    <w:rsid w:val="00E9292A"/>
    <w:rsid w:val="00E9389C"/>
    <w:rsid w:val="00E967EA"/>
    <w:rsid w:val="00E97299"/>
    <w:rsid w:val="00EA19E9"/>
    <w:rsid w:val="00EA2443"/>
    <w:rsid w:val="00EA369D"/>
    <w:rsid w:val="00EA3B6D"/>
    <w:rsid w:val="00EA3EF5"/>
    <w:rsid w:val="00EA411E"/>
    <w:rsid w:val="00EA4C4D"/>
    <w:rsid w:val="00EA5C5A"/>
    <w:rsid w:val="00EA641F"/>
    <w:rsid w:val="00EA66F5"/>
    <w:rsid w:val="00EA6A5A"/>
    <w:rsid w:val="00EA714D"/>
    <w:rsid w:val="00EA7431"/>
    <w:rsid w:val="00EB0B8C"/>
    <w:rsid w:val="00EB19E0"/>
    <w:rsid w:val="00EB1C21"/>
    <w:rsid w:val="00EB249C"/>
    <w:rsid w:val="00EB3B36"/>
    <w:rsid w:val="00EB5754"/>
    <w:rsid w:val="00EB5A80"/>
    <w:rsid w:val="00EB614C"/>
    <w:rsid w:val="00EB6408"/>
    <w:rsid w:val="00EB780D"/>
    <w:rsid w:val="00EB7FBE"/>
    <w:rsid w:val="00EC0392"/>
    <w:rsid w:val="00EC07DD"/>
    <w:rsid w:val="00EC093F"/>
    <w:rsid w:val="00EC0D7C"/>
    <w:rsid w:val="00EC11A8"/>
    <w:rsid w:val="00EC3652"/>
    <w:rsid w:val="00EC3D03"/>
    <w:rsid w:val="00EC649F"/>
    <w:rsid w:val="00EC7F14"/>
    <w:rsid w:val="00ED1B12"/>
    <w:rsid w:val="00ED3078"/>
    <w:rsid w:val="00ED3187"/>
    <w:rsid w:val="00ED3B24"/>
    <w:rsid w:val="00ED415E"/>
    <w:rsid w:val="00ED4969"/>
    <w:rsid w:val="00ED56D3"/>
    <w:rsid w:val="00ED5C8F"/>
    <w:rsid w:val="00ED5F63"/>
    <w:rsid w:val="00ED78E4"/>
    <w:rsid w:val="00ED7E10"/>
    <w:rsid w:val="00EE220A"/>
    <w:rsid w:val="00EE2448"/>
    <w:rsid w:val="00EE2853"/>
    <w:rsid w:val="00EE352A"/>
    <w:rsid w:val="00EF25DB"/>
    <w:rsid w:val="00EF2B66"/>
    <w:rsid w:val="00EF3E87"/>
    <w:rsid w:val="00EF5D36"/>
    <w:rsid w:val="00EF66FC"/>
    <w:rsid w:val="00EF7548"/>
    <w:rsid w:val="00F00538"/>
    <w:rsid w:val="00F0135B"/>
    <w:rsid w:val="00F02E73"/>
    <w:rsid w:val="00F10140"/>
    <w:rsid w:val="00F109C7"/>
    <w:rsid w:val="00F118A4"/>
    <w:rsid w:val="00F11BAF"/>
    <w:rsid w:val="00F11CE3"/>
    <w:rsid w:val="00F132DC"/>
    <w:rsid w:val="00F13A9A"/>
    <w:rsid w:val="00F13B27"/>
    <w:rsid w:val="00F15C07"/>
    <w:rsid w:val="00F16559"/>
    <w:rsid w:val="00F16E77"/>
    <w:rsid w:val="00F16FDF"/>
    <w:rsid w:val="00F1717C"/>
    <w:rsid w:val="00F17DCE"/>
    <w:rsid w:val="00F22750"/>
    <w:rsid w:val="00F23CA1"/>
    <w:rsid w:val="00F23CE5"/>
    <w:rsid w:val="00F2401A"/>
    <w:rsid w:val="00F25788"/>
    <w:rsid w:val="00F257BB"/>
    <w:rsid w:val="00F2646F"/>
    <w:rsid w:val="00F26B94"/>
    <w:rsid w:val="00F26E33"/>
    <w:rsid w:val="00F27710"/>
    <w:rsid w:val="00F27E65"/>
    <w:rsid w:val="00F30EE7"/>
    <w:rsid w:val="00F318BA"/>
    <w:rsid w:val="00F31DEA"/>
    <w:rsid w:val="00F32792"/>
    <w:rsid w:val="00F338D8"/>
    <w:rsid w:val="00F33B08"/>
    <w:rsid w:val="00F356D2"/>
    <w:rsid w:val="00F36A95"/>
    <w:rsid w:val="00F36C90"/>
    <w:rsid w:val="00F36F01"/>
    <w:rsid w:val="00F37349"/>
    <w:rsid w:val="00F405C9"/>
    <w:rsid w:val="00F40A19"/>
    <w:rsid w:val="00F40C29"/>
    <w:rsid w:val="00F414CD"/>
    <w:rsid w:val="00F414F8"/>
    <w:rsid w:val="00F424E2"/>
    <w:rsid w:val="00F43721"/>
    <w:rsid w:val="00F44FA1"/>
    <w:rsid w:val="00F45418"/>
    <w:rsid w:val="00F47626"/>
    <w:rsid w:val="00F47CAB"/>
    <w:rsid w:val="00F50275"/>
    <w:rsid w:val="00F505C7"/>
    <w:rsid w:val="00F51366"/>
    <w:rsid w:val="00F534AD"/>
    <w:rsid w:val="00F53C9E"/>
    <w:rsid w:val="00F54618"/>
    <w:rsid w:val="00F54824"/>
    <w:rsid w:val="00F54D09"/>
    <w:rsid w:val="00F566F6"/>
    <w:rsid w:val="00F56CE1"/>
    <w:rsid w:val="00F6003E"/>
    <w:rsid w:val="00F60839"/>
    <w:rsid w:val="00F61DD5"/>
    <w:rsid w:val="00F624C9"/>
    <w:rsid w:val="00F62AE5"/>
    <w:rsid w:val="00F62D01"/>
    <w:rsid w:val="00F62EE5"/>
    <w:rsid w:val="00F64A5C"/>
    <w:rsid w:val="00F669C5"/>
    <w:rsid w:val="00F66B7D"/>
    <w:rsid w:val="00F67C1B"/>
    <w:rsid w:val="00F70195"/>
    <w:rsid w:val="00F72DEA"/>
    <w:rsid w:val="00F75340"/>
    <w:rsid w:val="00F75710"/>
    <w:rsid w:val="00F75739"/>
    <w:rsid w:val="00F75AC9"/>
    <w:rsid w:val="00F75ED1"/>
    <w:rsid w:val="00F77814"/>
    <w:rsid w:val="00F803B0"/>
    <w:rsid w:val="00F80409"/>
    <w:rsid w:val="00F80E14"/>
    <w:rsid w:val="00F80E25"/>
    <w:rsid w:val="00F81524"/>
    <w:rsid w:val="00F83362"/>
    <w:rsid w:val="00F8600C"/>
    <w:rsid w:val="00F863C1"/>
    <w:rsid w:val="00F869B7"/>
    <w:rsid w:val="00F86E68"/>
    <w:rsid w:val="00F86EF5"/>
    <w:rsid w:val="00F9005C"/>
    <w:rsid w:val="00F904AE"/>
    <w:rsid w:val="00F90826"/>
    <w:rsid w:val="00F9123C"/>
    <w:rsid w:val="00F91CBA"/>
    <w:rsid w:val="00F91DF2"/>
    <w:rsid w:val="00F92513"/>
    <w:rsid w:val="00F93AEB"/>
    <w:rsid w:val="00F93F4C"/>
    <w:rsid w:val="00F9506A"/>
    <w:rsid w:val="00F95B03"/>
    <w:rsid w:val="00F96026"/>
    <w:rsid w:val="00F96B57"/>
    <w:rsid w:val="00F97CE1"/>
    <w:rsid w:val="00FA0966"/>
    <w:rsid w:val="00FA5238"/>
    <w:rsid w:val="00FA5261"/>
    <w:rsid w:val="00FA6905"/>
    <w:rsid w:val="00FA7A01"/>
    <w:rsid w:val="00FA7C6C"/>
    <w:rsid w:val="00FB03E9"/>
    <w:rsid w:val="00FB1C45"/>
    <w:rsid w:val="00FB231E"/>
    <w:rsid w:val="00FB2F2E"/>
    <w:rsid w:val="00FB37C3"/>
    <w:rsid w:val="00FB4456"/>
    <w:rsid w:val="00FB4D43"/>
    <w:rsid w:val="00FB5485"/>
    <w:rsid w:val="00FB5D74"/>
    <w:rsid w:val="00FB6981"/>
    <w:rsid w:val="00FB7076"/>
    <w:rsid w:val="00FC0936"/>
    <w:rsid w:val="00FC21CD"/>
    <w:rsid w:val="00FC3166"/>
    <w:rsid w:val="00FC3598"/>
    <w:rsid w:val="00FC3A0E"/>
    <w:rsid w:val="00FC3B9D"/>
    <w:rsid w:val="00FC4607"/>
    <w:rsid w:val="00FC5D45"/>
    <w:rsid w:val="00FC5E78"/>
    <w:rsid w:val="00FC691C"/>
    <w:rsid w:val="00FD0A3A"/>
    <w:rsid w:val="00FD1445"/>
    <w:rsid w:val="00FD16AF"/>
    <w:rsid w:val="00FD18F7"/>
    <w:rsid w:val="00FD1F4D"/>
    <w:rsid w:val="00FD20B3"/>
    <w:rsid w:val="00FD2218"/>
    <w:rsid w:val="00FD2A3E"/>
    <w:rsid w:val="00FD546E"/>
    <w:rsid w:val="00FD7077"/>
    <w:rsid w:val="00FE153D"/>
    <w:rsid w:val="00FE5BBC"/>
    <w:rsid w:val="00FE6638"/>
    <w:rsid w:val="00FF2B42"/>
    <w:rsid w:val="00FF454E"/>
    <w:rsid w:val="00FF507F"/>
    <w:rsid w:val="00FF649E"/>
    <w:rsid w:val="00FF6FE3"/>
    <w:rsid w:val="135357EA"/>
    <w:rsid w:val="22461994"/>
    <w:rsid w:val="330B7972"/>
    <w:rsid w:val="3B45210D"/>
    <w:rsid w:val="44D4140D"/>
    <w:rsid w:val="66852C9B"/>
    <w:rsid w:val="791F31F5"/>
  </w:rsids>
  <m:mathPr>
    <m:mathFont m:val="Cambria Math"/>
    <m:brkBin m:val="before"/>
    <m:brkBinSub m:val="--"/>
    <m:smallFrac m:val="1"/>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ocked="1"/>
    <w:lsdException w:qFormat="1" w:unhideWhenUsed="0" w:uiPriority="0" w:semiHidden="0" w:name="heading 4"/>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ocked="1"/>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ocked="1"/>
    <w:lsdException w:uiPriority="0" w:name="List 2"/>
    <w:lsdException w:uiPriority="0" w:name="List 3"/>
    <w:lsdException w:uiPriority="0" w:name="List 4" w:locked="1"/>
    <w:lsdException w:uiPriority="0" w:name="List 5" w:locked="1"/>
    <w:lsdException w:uiPriority="0" w:name="List Bullet 2"/>
    <w:lsdException w:uiPriority="0" w:name="List Bullet 3"/>
    <w:lsdException w:uiPriority="0" w:name="List Bullet 4"/>
    <w:lsdException w:qFormat="1" w:unhideWhenUsed="0" w:uiPriority="0" w:semiHidden="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ocked="1"/>
    <w:lsdException w:uiPriority="0" w:name="Salutation" w:locked="1"/>
    <w:lsdException w:uiPriority="0" w:name="Date" w:locked="1"/>
    <w:lsdException w:uiPriority="0" w:name="Body Text First Indent" w:locked="1"/>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34" w:semiHidden="0" w:name="List Paragraph"/>
    <w:lsdException w:qFormat="1" w:unhideWhenUsed="0" w:uiPriority="0" w:semiHidden="0" w:name="Quote"/>
  </w:latentStyles>
  <w:style w:type="paragraph" w:default="1" w:styleId="1">
    <w:name w:val="Normal"/>
    <w:qFormat/>
    <w:uiPriority w:val="0"/>
    <w:rPr>
      <w:rFonts w:ascii="Ecofont_Spranq_eco_Sans" w:hAnsi="Ecofont_Spranq_eco_Sans" w:eastAsia="Times New Roman" w:cs="Tahoma"/>
      <w:sz w:val="24"/>
      <w:szCs w:val="24"/>
      <w:lang w:val="pt-BR" w:eastAsia="pt-BR" w:bidi="ar-SA"/>
    </w:rPr>
  </w:style>
  <w:style w:type="paragraph" w:styleId="2">
    <w:name w:val="heading 1"/>
    <w:basedOn w:val="1"/>
    <w:next w:val="1"/>
    <w:link w:val="42"/>
    <w:qFormat/>
    <w:uiPriority w:val="0"/>
    <w:pPr>
      <w:keepNext/>
      <w:keepLines/>
      <w:spacing w:before="480"/>
      <w:outlineLvl w:val="0"/>
    </w:pPr>
    <w:rPr>
      <w:rFonts w:ascii="Calibri" w:hAnsi="Calibri" w:cs="Times New Roman"/>
      <w:b/>
      <w:bCs/>
      <w:color w:val="365F91"/>
      <w:sz w:val="28"/>
      <w:szCs w:val="28"/>
    </w:rPr>
  </w:style>
  <w:style w:type="paragraph" w:styleId="3">
    <w:name w:val="heading 2"/>
    <w:basedOn w:val="1"/>
    <w:next w:val="1"/>
    <w:link w:val="25"/>
    <w:qFormat/>
    <w:uiPriority w:val="0"/>
    <w:pPr>
      <w:keepNext/>
      <w:tabs>
        <w:tab w:val="left" w:pos="1701"/>
      </w:tabs>
      <w:ind w:right="-1"/>
      <w:jc w:val="center"/>
      <w:outlineLvl w:val="1"/>
    </w:pPr>
    <w:rPr>
      <w:rFonts w:ascii="Times New Roman" w:hAnsi="Times New Roman" w:cs="Times New Roman"/>
      <w:b/>
      <w:color w:val="000000"/>
      <w:szCs w:val="20"/>
    </w:rPr>
  </w:style>
  <w:style w:type="paragraph" w:styleId="4">
    <w:name w:val="heading 4"/>
    <w:basedOn w:val="1"/>
    <w:next w:val="1"/>
    <w:link w:val="37"/>
    <w:qFormat/>
    <w:uiPriority w:val="0"/>
    <w:pPr>
      <w:keepNext/>
      <w:keepLines/>
      <w:spacing w:before="40"/>
      <w:outlineLvl w:val="3"/>
    </w:pPr>
    <w:rPr>
      <w:rFonts w:ascii="Calibri" w:hAnsi="Calibri" w:cs="Times New Roman"/>
      <w:i/>
      <w:iCs/>
      <w:color w:val="365F91"/>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character" w:styleId="7">
    <w:name w:val="Strong"/>
    <w:qFormat/>
    <w:locked/>
    <w:uiPriority w:val="0"/>
    <w:rPr>
      <w:b/>
      <w:bCs/>
    </w:rPr>
  </w:style>
  <w:style w:type="character" w:styleId="8">
    <w:name w:val="annotation reference"/>
    <w:semiHidden/>
    <w:qFormat/>
    <w:uiPriority w:val="0"/>
    <w:rPr>
      <w:rFonts w:cs="Times New Roman"/>
      <w:sz w:val="16"/>
      <w:szCs w:val="16"/>
    </w:rPr>
  </w:style>
  <w:style w:type="character" w:styleId="9">
    <w:name w:val="Emphasis"/>
    <w:qFormat/>
    <w:locked/>
    <w:uiPriority w:val="0"/>
    <w:rPr>
      <w:i/>
      <w:iCs/>
    </w:rPr>
  </w:style>
  <w:style w:type="character" w:styleId="10">
    <w:name w:val="footnote reference"/>
    <w:semiHidden/>
    <w:qFormat/>
    <w:uiPriority w:val="0"/>
    <w:rPr>
      <w:rFonts w:cs="Times New Roman"/>
      <w:vertAlign w:val="superscript"/>
    </w:rPr>
  </w:style>
  <w:style w:type="character" w:styleId="11">
    <w:name w:val="Hyperlink"/>
    <w:qFormat/>
    <w:uiPriority w:val="0"/>
    <w:rPr>
      <w:color w:val="000080"/>
      <w:u w:val="single"/>
    </w:rPr>
  </w:style>
  <w:style w:type="paragraph" w:styleId="12">
    <w:name w:val="Body Text"/>
    <w:basedOn w:val="1"/>
    <w:link w:val="51"/>
    <w:qFormat/>
    <w:uiPriority w:val="0"/>
    <w:pPr>
      <w:spacing w:before="100" w:beforeAutospacing="1" w:after="100" w:afterAutospacing="1"/>
    </w:pPr>
    <w:rPr>
      <w:rFonts w:ascii="Times New Roman" w:hAnsi="Times New Roman" w:cs="Times New Roman"/>
    </w:rPr>
  </w:style>
  <w:style w:type="paragraph" w:styleId="13">
    <w:name w:val="annotation text"/>
    <w:basedOn w:val="1"/>
    <w:link w:val="35"/>
    <w:semiHidden/>
    <w:qFormat/>
    <w:uiPriority w:val="0"/>
    <w:rPr>
      <w:sz w:val="20"/>
      <w:szCs w:val="20"/>
    </w:rPr>
  </w:style>
  <w:style w:type="paragraph" w:styleId="14">
    <w:name w:val="Title"/>
    <w:basedOn w:val="1"/>
    <w:next w:val="1"/>
    <w:link w:val="40"/>
    <w:qFormat/>
    <w:uiPriority w:val="0"/>
    <w:pPr>
      <w:pBdr>
        <w:bottom w:val="single" w:color="4F81BD" w:sz="8" w:space="4"/>
      </w:pBdr>
      <w:spacing w:after="300"/>
    </w:pPr>
    <w:rPr>
      <w:rFonts w:ascii="Calibri" w:hAnsi="Calibri" w:cs="Times New Roman"/>
      <w:color w:val="17365D"/>
      <w:spacing w:val="5"/>
      <w:kern w:val="28"/>
      <w:sz w:val="52"/>
      <w:szCs w:val="52"/>
    </w:rPr>
  </w:style>
  <w:style w:type="paragraph" w:styleId="15">
    <w:name w:val="List Bullet 5"/>
    <w:basedOn w:val="1"/>
    <w:qFormat/>
    <w:uiPriority w:val="0"/>
    <w:pPr>
      <w:numPr>
        <w:ilvl w:val="0"/>
        <w:numId w:val="1"/>
      </w:numPr>
    </w:pPr>
  </w:style>
  <w:style w:type="paragraph" w:styleId="16">
    <w:name w:val="Normal (Web)"/>
    <w:basedOn w:val="1"/>
    <w:qFormat/>
    <w:uiPriority w:val="0"/>
    <w:pPr>
      <w:spacing w:before="100" w:beforeAutospacing="1" w:after="100" w:afterAutospacing="1"/>
    </w:pPr>
    <w:rPr>
      <w:rFonts w:ascii="Times New Roman" w:hAnsi="Times New Roman" w:cs="Times New Roman"/>
    </w:rPr>
  </w:style>
  <w:style w:type="paragraph" w:styleId="17">
    <w:name w:val="header"/>
    <w:basedOn w:val="1"/>
    <w:link w:val="33"/>
    <w:qFormat/>
    <w:uiPriority w:val="0"/>
    <w:pPr>
      <w:tabs>
        <w:tab w:val="center" w:pos="4252"/>
        <w:tab w:val="right" w:pos="8504"/>
      </w:tabs>
    </w:pPr>
    <w:rPr>
      <w:rFonts w:cs="Times New Roman"/>
    </w:rPr>
  </w:style>
  <w:style w:type="paragraph" w:styleId="18">
    <w:name w:val="annotation subject"/>
    <w:basedOn w:val="13"/>
    <w:next w:val="13"/>
    <w:link w:val="36"/>
    <w:semiHidden/>
    <w:qFormat/>
    <w:uiPriority w:val="0"/>
    <w:rPr>
      <w:b/>
      <w:bCs/>
    </w:rPr>
  </w:style>
  <w:style w:type="paragraph" w:styleId="19">
    <w:name w:val="footer"/>
    <w:basedOn w:val="1"/>
    <w:link w:val="34"/>
    <w:qFormat/>
    <w:uiPriority w:val="0"/>
    <w:pPr>
      <w:tabs>
        <w:tab w:val="center" w:pos="4252"/>
        <w:tab w:val="right" w:pos="8504"/>
      </w:tabs>
    </w:pPr>
    <w:rPr>
      <w:rFonts w:cs="Times New Roman"/>
    </w:rPr>
  </w:style>
  <w:style w:type="paragraph" w:styleId="20">
    <w:name w:val="Balloon Text"/>
    <w:basedOn w:val="1"/>
    <w:link w:val="24"/>
    <w:semiHidden/>
    <w:qFormat/>
    <w:uiPriority w:val="0"/>
    <w:rPr>
      <w:rFonts w:ascii="Tahoma" w:hAnsi="Tahoma" w:cs="Times New Roman"/>
      <w:sz w:val="16"/>
      <w:szCs w:val="16"/>
    </w:rPr>
  </w:style>
  <w:style w:type="paragraph" w:styleId="21">
    <w:name w:val="footnote text"/>
    <w:basedOn w:val="1"/>
    <w:link w:val="62"/>
    <w:semiHidden/>
    <w:qFormat/>
    <w:uiPriority w:val="0"/>
    <w:rPr>
      <w:sz w:val="20"/>
      <w:szCs w:val="20"/>
    </w:rPr>
  </w:style>
  <w:style w:type="table" w:styleId="22">
    <w:name w:val="Table Grid"/>
    <w:basedOn w:val="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
    <w:name w:val="Parágrafo da Lista1"/>
    <w:basedOn w:val="1"/>
    <w:qFormat/>
    <w:uiPriority w:val="0"/>
    <w:pPr>
      <w:ind w:left="720"/>
    </w:pPr>
  </w:style>
  <w:style w:type="character" w:customStyle="1" w:styleId="24">
    <w:name w:val="Texto de balão Char"/>
    <w:link w:val="20"/>
    <w:qFormat/>
    <w:locked/>
    <w:uiPriority w:val="0"/>
    <w:rPr>
      <w:rFonts w:ascii="Tahoma" w:hAnsi="Tahoma"/>
      <w:sz w:val="16"/>
    </w:rPr>
  </w:style>
  <w:style w:type="character" w:customStyle="1" w:styleId="25">
    <w:name w:val="Título 2 Char"/>
    <w:link w:val="3"/>
    <w:qFormat/>
    <w:locked/>
    <w:uiPriority w:val="0"/>
    <w:rPr>
      <w:b/>
      <w:color w:val="000000"/>
      <w:sz w:val="24"/>
    </w:rPr>
  </w:style>
  <w:style w:type="paragraph" w:customStyle="1" w:styleId="26">
    <w:name w:val="Nível 2"/>
    <w:basedOn w:val="1"/>
    <w:next w:val="1"/>
    <w:qFormat/>
    <w:uiPriority w:val="0"/>
    <w:pPr>
      <w:spacing w:after="120"/>
      <w:jc w:val="both"/>
    </w:pPr>
    <w:rPr>
      <w:rFonts w:ascii="Arial" w:hAnsi="Arial" w:cs="Times New Roman"/>
      <w:b/>
      <w:szCs w:val="20"/>
    </w:rPr>
  </w:style>
  <w:style w:type="character" w:customStyle="1" w:styleId="27">
    <w:name w:val="normal__char1"/>
    <w:qFormat/>
    <w:uiPriority w:val="0"/>
    <w:rPr>
      <w:rFonts w:ascii="Arial" w:hAnsi="Arial"/>
      <w:sz w:val="24"/>
      <w:u w:val="none"/>
    </w:rPr>
  </w:style>
  <w:style w:type="character" w:customStyle="1" w:styleId="28">
    <w:name w:val="apple-style-span"/>
    <w:qFormat/>
    <w:uiPriority w:val="0"/>
    <w:rPr>
      <w:rFonts w:cs="Times New Roman"/>
    </w:rPr>
  </w:style>
  <w:style w:type="paragraph" w:customStyle="1" w:styleId="29">
    <w:name w:val="Citação1"/>
    <w:basedOn w:val="1"/>
    <w:next w:val="1"/>
    <w:link w:val="30"/>
    <w:qFormat/>
    <w:uiPriority w:val="0"/>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ascii="Arial" w:hAnsi="Arial" w:cs="Times New Roman"/>
      <w:i/>
      <w:iCs/>
      <w:color w:val="000000"/>
      <w:sz w:val="20"/>
    </w:rPr>
  </w:style>
  <w:style w:type="character" w:customStyle="1" w:styleId="30">
    <w:name w:val="Quote Char1"/>
    <w:link w:val="29"/>
    <w:qFormat/>
    <w:locked/>
    <w:uiPriority w:val="0"/>
    <w:rPr>
      <w:rFonts w:ascii="Arial" w:hAnsi="Arial" w:eastAsia="Times New Roman"/>
      <w:i/>
      <w:color w:val="000000"/>
      <w:sz w:val="24"/>
      <w:shd w:val="clear" w:color="auto" w:fill="FFFFCC"/>
    </w:rPr>
  </w:style>
  <w:style w:type="paragraph" w:customStyle="1" w:styleId="31">
    <w:name w:val="citação 2"/>
    <w:basedOn w:val="29"/>
    <w:link w:val="32"/>
    <w:qFormat/>
    <w:uiPriority w:val="0"/>
    <w:rPr>
      <w:szCs w:val="20"/>
    </w:rPr>
  </w:style>
  <w:style w:type="character" w:customStyle="1" w:styleId="32">
    <w:name w:val="citação 2 Char"/>
    <w:link w:val="31"/>
    <w:qFormat/>
    <w:locked/>
    <w:uiPriority w:val="0"/>
    <w:rPr>
      <w:rFonts w:ascii="Ecofont_Spranq_eco_Sans" w:hAnsi="Ecofont_Spranq_eco_Sans" w:eastAsia="Times New Roman" w:cs="Tahoma"/>
      <w:i/>
      <w:iCs/>
      <w:color w:val="000000"/>
      <w:sz w:val="24"/>
      <w:szCs w:val="24"/>
      <w:shd w:val="clear" w:color="auto" w:fill="FFFFCC"/>
      <w:lang w:eastAsia="en-US"/>
    </w:rPr>
  </w:style>
  <w:style w:type="character" w:customStyle="1" w:styleId="33">
    <w:name w:val="Cabeçalho Char"/>
    <w:link w:val="17"/>
    <w:qFormat/>
    <w:locked/>
    <w:uiPriority w:val="0"/>
    <w:rPr>
      <w:rFonts w:ascii="Ecofont_Spranq_eco_Sans" w:hAnsi="Ecofont_Spranq_eco_Sans"/>
      <w:sz w:val="24"/>
    </w:rPr>
  </w:style>
  <w:style w:type="character" w:customStyle="1" w:styleId="34">
    <w:name w:val="Rodapé Char"/>
    <w:link w:val="19"/>
    <w:qFormat/>
    <w:locked/>
    <w:uiPriority w:val="0"/>
    <w:rPr>
      <w:rFonts w:ascii="Ecofont_Spranq_eco_Sans" w:hAnsi="Ecofont_Spranq_eco_Sans"/>
      <w:sz w:val="24"/>
    </w:rPr>
  </w:style>
  <w:style w:type="character" w:customStyle="1" w:styleId="35">
    <w:name w:val="Texto de comentário Char"/>
    <w:link w:val="13"/>
    <w:qFormat/>
    <w:locked/>
    <w:uiPriority w:val="0"/>
    <w:rPr>
      <w:rFonts w:ascii="Ecofont_Spranq_eco_Sans" w:hAnsi="Ecofont_Spranq_eco_Sans" w:cs="Tahoma"/>
      <w:lang w:eastAsia="pt-BR"/>
    </w:rPr>
  </w:style>
  <w:style w:type="character" w:customStyle="1" w:styleId="36">
    <w:name w:val="Assunto do comentário Char"/>
    <w:link w:val="18"/>
    <w:semiHidden/>
    <w:qFormat/>
    <w:locked/>
    <w:uiPriority w:val="0"/>
    <w:rPr>
      <w:rFonts w:ascii="Ecofont_Spranq_eco_Sans" w:hAnsi="Ecofont_Spranq_eco_Sans" w:cs="Tahoma"/>
      <w:b/>
      <w:bCs/>
      <w:lang w:eastAsia="pt-BR"/>
    </w:rPr>
  </w:style>
  <w:style w:type="character" w:customStyle="1" w:styleId="37">
    <w:name w:val="Título 4 Char"/>
    <w:link w:val="4"/>
    <w:qFormat/>
    <w:locked/>
    <w:uiPriority w:val="0"/>
    <w:rPr>
      <w:rFonts w:ascii="Calibri" w:hAnsi="Calibri" w:cs="Times New Roman"/>
      <w:i/>
      <w:iCs/>
      <w:color w:val="365F91"/>
      <w:sz w:val="24"/>
      <w:szCs w:val="24"/>
      <w:lang w:eastAsia="pt-BR"/>
    </w:rPr>
  </w:style>
  <w:style w:type="paragraph" w:customStyle="1" w:styleId="38">
    <w:name w:val="Nivel 01"/>
    <w:basedOn w:val="2"/>
    <w:next w:val="1"/>
    <w:link w:val="41"/>
    <w:qFormat/>
    <w:uiPriority w:val="0"/>
    <w:pPr>
      <w:numPr>
        <w:ilvl w:val="0"/>
        <w:numId w:val="2"/>
      </w:numPr>
      <w:tabs>
        <w:tab w:val="left" w:pos="567"/>
      </w:tabs>
      <w:spacing w:before="240"/>
      <w:jc w:val="both"/>
    </w:pPr>
    <w:rPr>
      <w:rFonts w:ascii="Ecofont_Spranq_eco_Sans" w:hAnsi="Ecofont_Spranq_eco_Sans"/>
      <w:color w:val="000000"/>
      <w:sz w:val="20"/>
      <w:szCs w:val="20"/>
    </w:rPr>
  </w:style>
  <w:style w:type="paragraph" w:customStyle="1" w:styleId="39">
    <w:name w:val="Nivel_01_Titulo"/>
    <w:basedOn w:val="38"/>
    <w:link w:val="43"/>
    <w:qFormat/>
    <w:uiPriority w:val="0"/>
    <w:pPr>
      <w:jc w:val="left"/>
    </w:pPr>
    <w:rPr>
      <w:spacing w:val="5"/>
      <w:kern w:val="28"/>
      <w:sz w:val="52"/>
      <w:szCs w:val="52"/>
    </w:rPr>
  </w:style>
  <w:style w:type="character" w:customStyle="1" w:styleId="40">
    <w:name w:val="Título Char"/>
    <w:link w:val="14"/>
    <w:qFormat/>
    <w:locked/>
    <w:uiPriority w:val="0"/>
    <w:rPr>
      <w:rFonts w:ascii="Calibri" w:hAnsi="Calibri" w:cs="Times New Roman"/>
      <w:color w:val="17365D"/>
      <w:spacing w:val="5"/>
      <w:kern w:val="28"/>
      <w:sz w:val="52"/>
      <w:szCs w:val="52"/>
      <w:lang w:eastAsia="pt-BR"/>
    </w:rPr>
  </w:style>
  <w:style w:type="character" w:customStyle="1" w:styleId="41">
    <w:name w:val="Nivel 01 Char"/>
    <w:link w:val="38"/>
    <w:qFormat/>
    <w:locked/>
    <w:uiPriority w:val="0"/>
    <w:rPr>
      <w:rFonts w:ascii="Ecofont_Spranq_eco_Sans" w:hAnsi="Ecofont_Spranq_eco_Sans" w:cs="Times New Roman"/>
      <w:b/>
      <w:bCs/>
      <w:color w:val="000000"/>
      <w:spacing w:val="5"/>
      <w:kern w:val="28"/>
      <w:sz w:val="52"/>
      <w:szCs w:val="52"/>
      <w:lang w:eastAsia="pt-BR"/>
    </w:rPr>
  </w:style>
  <w:style w:type="character" w:customStyle="1" w:styleId="42">
    <w:name w:val="Título 1 Char"/>
    <w:link w:val="2"/>
    <w:qFormat/>
    <w:locked/>
    <w:uiPriority w:val="0"/>
    <w:rPr>
      <w:rFonts w:ascii="Calibri" w:hAnsi="Calibri" w:cs="Times New Roman"/>
      <w:b/>
      <w:bCs/>
      <w:color w:val="365F91"/>
      <w:sz w:val="28"/>
      <w:szCs w:val="28"/>
      <w:lang w:eastAsia="pt-BR"/>
    </w:rPr>
  </w:style>
  <w:style w:type="character" w:customStyle="1" w:styleId="43">
    <w:name w:val="Nivel_01_Titulo Char"/>
    <w:basedOn w:val="41"/>
    <w:link w:val="39"/>
    <w:qFormat/>
    <w:locked/>
    <w:uiPriority w:val="0"/>
    <w:rPr>
      <w:rFonts w:ascii="Ecofont_Spranq_eco_Sans" w:hAnsi="Ecofont_Spranq_eco_Sans" w:cs="Times New Roman"/>
      <w:color w:val="000000"/>
      <w:spacing w:val="5"/>
      <w:kern w:val="28"/>
      <w:sz w:val="52"/>
      <w:szCs w:val="52"/>
      <w:lang w:eastAsia="pt-BR"/>
    </w:rPr>
  </w:style>
  <w:style w:type="paragraph" w:customStyle="1" w:styleId="44">
    <w:name w:val="PADRÃO"/>
    <w:qFormat/>
    <w:uiPriority w:val="0"/>
    <w:pPr>
      <w:keepNext/>
      <w:widowControl w:val="0"/>
      <w:shd w:val="clear" w:color="auto" w:fill="FFFFFF"/>
      <w:spacing w:before="119" w:after="119" w:line="276" w:lineRule="auto"/>
      <w:ind w:firstLine="567"/>
      <w:jc w:val="both"/>
      <w:textAlignment w:val="baseline"/>
    </w:pPr>
    <w:rPr>
      <w:rFonts w:ascii="Ecofont_Spranq_eco_Sans" w:hAnsi="Ecofont_Spranq_eco_Sans" w:eastAsia="Times New Roman" w:cs="Lohit Hindi"/>
      <w:szCs w:val="24"/>
      <w:lang w:val="pt-BR" w:eastAsia="zh-CN" w:bidi="hi-IN"/>
    </w:rPr>
  </w:style>
  <w:style w:type="character" w:customStyle="1" w:styleId="45">
    <w:name w:val="Quote Char"/>
    <w:link w:val="46"/>
    <w:qFormat/>
    <w:locked/>
    <w:uiPriority w:val="0"/>
    <w:rPr>
      <w:rFonts w:ascii="Ecofont_Spranq_eco_Sans" w:hAnsi="Ecofont_Spranq_eco_Sans" w:eastAsia="Times New Roman" w:cs="Tahoma"/>
      <w:i/>
      <w:iCs/>
      <w:color w:val="000000"/>
      <w:shd w:val="clear" w:color="auto" w:fill="FFFFCC"/>
    </w:rPr>
  </w:style>
  <w:style w:type="paragraph" w:customStyle="1" w:styleId="46">
    <w:name w:val="Citação11"/>
    <w:basedOn w:val="1"/>
    <w:next w:val="1"/>
    <w:link w:val="45"/>
    <w:qFormat/>
    <w:uiPriority w:val="0"/>
    <w:pPr>
      <w:pBdr>
        <w:top w:val="single" w:color="1F497D" w:sz="4" w:space="1"/>
        <w:left w:val="single" w:color="1F497D" w:sz="4" w:space="4"/>
        <w:bottom w:val="single" w:color="1F497D" w:sz="4" w:space="1"/>
        <w:right w:val="single" w:color="1F497D" w:sz="4" w:space="4"/>
      </w:pBdr>
      <w:shd w:val="clear" w:color="auto" w:fill="FFFFCC"/>
      <w:spacing w:before="120"/>
      <w:jc w:val="both"/>
    </w:pPr>
    <w:rPr>
      <w:i/>
      <w:iCs/>
      <w:color w:val="000000"/>
      <w:sz w:val="20"/>
      <w:szCs w:val="20"/>
      <w:lang w:eastAsia="en-US"/>
    </w:rPr>
  </w:style>
  <w:style w:type="paragraph" w:customStyle="1" w:styleId="47">
    <w:name w:val="paragraph"/>
    <w:basedOn w:val="1"/>
    <w:qFormat/>
    <w:uiPriority w:val="0"/>
    <w:pPr>
      <w:spacing w:before="100" w:beforeAutospacing="1" w:after="100" w:afterAutospacing="1"/>
    </w:pPr>
    <w:rPr>
      <w:rFonts w:ascii="Times New Roman" w:hAnsi="Times New Roman" w:cs="Times New Roman"/>
    </w:rPr>
  </w:style>
  <w:style w:type="character" w:customStyle="1" w:styleId="48">
    <w:name w:val="normaltextrun"/>
    <w:qFormat/>
    <w:uiPriority w:val="0"/>
    <w:rPr>
      <w:rFonts w:cs="Times New Roman"/>
    </w:rPr>
  </w:style>
  <w:style w:type="character" w:customStyle="1" w:styleId="49">
    <w:name w:val="eop"/>
    <w:qFormat/>
    <w:uiPriority w:val="0"/>
    <w:rPr>
      <w:rFonts w:cs="Times New Roman"/>
    </w:rPr>
  </w:style>
  <w:style w:type="character" w:customStyle="1" w:styleId="50">
    <w:name w:val="spellingerror"/>
    <w:qFormat/>
    <w:uiPriority w:val="0"/>
    <w:rPr>
      <w:rFonts w:cs="Times New Roman"/>
    </w:rPr>
  </w:style>
  <w:style w:type="character" w:customStyle="1" w:styleId="51">
    <w:name w:val="Corpo de texto Char"/>
    <w:link w:val="12"/>
    <w:qFormat/>
    <w:locked/>
    <w:uiPriority w:val="0"/>
    <w:rPr>
      <w:rFonts w:eastAsia="Times New Roman" w:cs="Times New Roman"/>
      <w:sz w:val="24"/>
      <w:szCs w:val="24"/>
      <w:lang w:eastAsia="pt-BR"/>
    </w:rPr>
  </w:style>
  <w:style w:type="paragraph" w:customStyle="1" w:styleId="52">
    <w:name w:val="Nivel1"/>
    <w:basedOn w:val="2"/>
    <w:link w:val="53"/>
    <w:qFormat/>
    <w:uiPriority w:val="0"/>
    <w:pPr>
      <w:spacing w:line="276" w:lineRule="auto"/>
      <w:ind w:left="357" w:hanging="357"/>
      <w:jc w:val="both"/>
    </w:pPr>
    <w:rPr>
      <w:rFonts w:ascii="Arial" w:hAnsi="Arial" w:cs="Arial"/>
      <w:bCs w:val="0"/>
      <w:color w:val="000000"/>
    </w:rPr>
  </w:style>
  <w:style w:type="character" w:customStyle="1" w:styleId="53">
    <w:name w:val="Nivel1 Char"/>
    <w:link w:val="52"/>
    <w:qFormat/>
    <w:locked/>
    <w:uiPriority w:val="0"/>
    <w:rPr>
      <w:rFonts w:ascii="Arial" w:hAnsi="Arial" w:cs="Arial"/>
      <w:b/>
      <w:bCs/>
      <w:color w:val="000000"/>
      <w:sz w:val="28"/>
      <w:szCs w:val="28"/>
      <w:lang w:eastAsia="pt-BR"/>
    </w:rPr>
  </w:style>
  <w:style w:type="paragraph" w:customStyle="1" w:styleId="54">
    <w:name w:val="Parágrafo da Lista11"/>
    <w:basedOn w:val="1"/>
    <w:qFormat/>
    <w:uiPriority w:val="0"/>
    <w:pPr>
      <w:ind w:left="720"/>
    </w:pPr>
    <w:rPr>
      <w:rFonts w:cs="Ecofont_Spranq_eco_Sans"/>
    </w:rPr>
  </w:style>
  <w:style w:type="paragraph" w:customStyle="1" w:styleId="55">
    <w:name w:val="Nivel 2"/>
    <w:link w:val="64"/>
    <w:qFormat/>
    <w:uiPriority w:val="0"/>
    <w:pPr>
      <w:numPr>
        <w:ilvl w:val="1"/>
        <w:numId w:val="3"/>
      </w:numPr>
      <w:spacing w:before="120" w:after="120" w:line="276" w:lineRule="auto"/>
      <w:jc w:val="both"/>
    </w:pPr>
    <w:rPr>
      <w:rFonts w:ascii="Ecofont_Spranq_eco_Sans" w:hAnsi="Ecofont_Spranq_eco_Sans" w:eastAsia="Arial Unicode MS" w:cs="Times New Roman"/>
      <w:lang w:val="pt-BR" w:eastAsia="pt-BR" w:bidi="ar-SA"/>
    </w:rPr>
  </w:style>
  <w:style w:type="paragraph" w:customStyle="1" w:styleId="56">
    <w:name w:val="Nivel 1"/>
    <w:basedOn w:val="55"/>
    <w:next w:val="55"/>
    <w:qFormat/>
    <w:uiPriority w:val="0"/>
    <w:pPr>
      <w:numPr>
        <w:ilvl w:val="0"/>
      </w:numPr>
    </w:pPr>
    <w:rPr>
      <w:rFonts w:cs="Arial"/>
      <w:b/>
    </w:rPr>
  </w:style>
  <w:style w:type="paragraph" w:customStyle="1" w:styleId="57">
    <w:name w:val="Nivel 3"/>
    <w:basedOn w:val="55"/>
    <w:qFormat/>
    <w:uiPriority w:val="0"/>
    <w:pPr>
      <w:numPr>
        <w:ilvl w:val="2"/>
      </w:numPr>
    </w:pPr>
    <w:rPr>
      <w:rFonts w:cs="Arial"/>
      <w:color w:val="000000"/>
    </w:rPr>
  </w:style>
  <w:style w:type="paragraph" w:customStyle="1" w:styleId="58">
    <w:name w:val="Nivel 4"/>
    <w:basedOn w:val="57"/>
    <w:link w:val="60"/>
    <w:qFormat/>
    <w:uiPriority w:val="0"/>
    <w:pPr>
      <w:numPr>
        <w:ilvl w:val="3"/>
      </w:numPr>
    </w:pPr>
    <w:rPr>
      <w:color w:val="auto"/>
    </w:rPr>
  </w:style>
  <w:style w:type="paragraph" w:customStyle="1" w:styleId="59">
    <w:name w:val="Nivel 5"/>
    <w:basedOn w:val="58"/>
    <w:qFormat/>
    <w:uiPriority w:val="0"/>
    <w:pPr>
      <w:numPr>
        <w:ilvl w:val="4"/>
      </w:numPr>
      <w:ind w:left="3348" w:hanging="1080"/>
    </w:pPr>
  </w:style>
  <w:style w:type="character" w:customStyle="1" w:styleId="60">
    <w:name w:val="Nivel 4 Char"/>
    <w:link w:val="58"/>
    <w:qFormat/>
    <w:locked/>
    <w:uiPriority w:val="0"/>
    <w:rPr>
      <w:rFonts w:ascii="Ecofont_Spranq_eco_Sans" w:hAnsi="Ecofont_Spranq_eco_Sans" w:eastAsia="Arial Unicode MS" w:cs="Arial"/>
      <w:lang w:val="pt-BR" w:eastAsia="pt-BR" w:bidi="ar-SA"/>
    </w:rPr>
  </w:style>
  <w:style w:type="paragraph" w:customStyle="1" w:styleId="61">
    <w:name w:val="textbody"/>
    <w:basedOn w:val="1"/>
    <w:qFormat/>
    <w:uiPriority w:val="0"/>
    <w:pPr>
      <w:spacing w:before="100" w:beforeAutospacing="1" w:after="100" w:afterAutospacing="1"/>
    </w:pPr>
    <w:rPr>
      <w:rFonts w:ascii="Times New Roman" w:hAnsi="Times New Roman" w:cs="Times New Roman"/>
    </w:rPr>
  </w:style>
  <w:style w:type="character" w:customStyle="1" w:styleId="62">
    <w:name w:val="Texto de nota de rodapé Char"/>
    <w:link w:val="21"/>
    <w:semiHidden/>
    <w:qFormat/>
    <w:locked/>
    <w:uiPriority w:val="0"/>
    <w:rPr>
      <w:rFonts w:ascii="Ecofont_Spranq_eco_Sans" w:hAnsi="Ecofont_Spranq_eco_Sans" w:cs="Tahoma"/>
      <w:lang w:eastAsia="pt-BR"/>
    </w:rPr>
  </w:style>
  <w:style w:type="paragraph" w:customStyle="1" w:styleId="63">
    <w:name w:val="Parágrafo da Lista2"/>
    <w:basedOn w:val="1"/>
    <w:qFormat/>
    <w:uiPriority w:val="0"/>
    <w:pPr>
      <w:ind w:left="720"/>
    </w:pPr>
  </w:style>
  <w:style w:type="character" w:customStyle="1" w:styleId="64">
    <w:name w:val="Nivel 2 Char"/>
    <w:link w:val="55"/>
    <w:qFormat/>
    <w:locked/>
    <w:uiPriority w:val="0"/>
    <w:rPr>
      <w:rFonts w:ascii="Ecofont_Spranq_eco_Sans" w:hAnsi="Ecofont_Spranq_eco_Sans" w:eastAsia="Arial Unicode MS"/>
      <w:lang w:val="pt-BR" w:eastAsia="pt-BR" w:bidi="ar-SA"/>
    </w:rPr>
  </w:style>
  <w:style w:type="paragraph" w:styleId="65">
    <w:name w:val="Quote"/>
    <w:basedOn w:val="1"/>
    <w:next w:val="1"/>
    <w:link w:val="66"/>
    <w:qFormat/>
    <w:uiPriority w:val="0"/>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ascii="Arial" w:hAnsi="Arial" w:eastAsia="Calibri"/>
      <w:i/>
      <w:iCs/>
      <w:color w:val="000000"/>
      <w:sz w:val="20"/>
      <w:lang w:eastAsia="en-US"/>
    </w:rPr>
  </w:style>
  <w:style w:type="character" w:customStyle="1" w:styleId="66">
    <w:name w:val="Citação Char"/>
    <w:basedOn w:val="5"/>
    <w:link w:val="65"/>
    <w:qFormat/>
    <w:uiPriority w:val="0"/>
    <w:rPr>
      <w:rFonts w:ascii="Arial" w:hAnsi="Arial" w:eastAsia="Calibri" w:cs="Tahoma"/>
      <w:i/>
      <w:iCs/>
      <w:color w:val="000000"/>
      <w:szCs w:val="24"/>
      <w:shd w:val="clear" w:color="auto" w:fill="FFFFCC"/>
      <w:lang w:eastAsia="en-US"/>
    </w:rPr>
  </w:style>
  <w:style w:type="paragraph" w:styleId="67">
    <w:name w:val="List Paragraph"/>
    <w:basedOn w:val="1"/>
    <w:qFormat/>
    <w:uiPriority w:val="34"/>
    <w:pPr>
      <w:ind w:left="720"/>
      <w:contextualSpacing/>
    </w:pPr>
  </w:style>
  <w:style w:type="character" w:customStyle="1" w:styleId="68">
    <w:name w:val="Unresolved Mention"/>
    <w:basedOn w:val="5"/>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39DA1-441A-40C3-9E00-4466852CFB4B}">
  <ds:schemaRefs/>
</ds:datastoreItem>
</file>

<file path=docProps/app.xml><?xml version="1.0" encoding="utf-8"?>
<Properties xmlns="http://schemas.openxmlformats.org/officeDocument/2006/extended-properties" xmlns:vt="http://schemas.openxmlformats.org/officeDocument/2006/docPropsVTypes">
  <Template>Normal.dotm</Template>
  <Company>Nogueira e Nogueira Advogados Associados</Company>
  <Pages>17</Pages>
  <Words>8548</Words>
  <Characters>48145</Characters>
  <Lines>398</Lines>
  <Paragraphs>113</Paragraphs>
  <TotalTime>28</TotalTime>
  <ScaleCrop>false</ScaleCrop>
  <LinksUpToDate>false</LinksUpToDate>
  <CharactersWithSpaces>56445</CharactersWithSpaces>
  <Application>WPS Office_11.2.0.11513_F1E327BC-269C-435d-A152-05C5408002CA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2020-10-26T10:35:00Z</dcterms:created>
  <dc:creator>Eyer Nogueira</dc:creator>
  <cp:lastModifiedBy>Mayra</cp:lastModifiedBy>
  <cp:lastPrinted>2021-07-08T18:52:00Z</cp:lastPrinted>
  <dcterms:modified xsi:type="dcterms:W3CDTF">2023-03-31T10:54:51Z</dcterms:modified>
  <dc:title>EDITAL DE PREGÃO ELETRÔNICO</dc:title>
  <cp:revision>77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KSOProductBuildVer">
    <vt:lpwstr>1046-11.2.0.11513</vt:lpwstr>
  </property>
  <property fmtid="{D5CDD505-2E9C-101B-9397-08002B2CF9AE}" pid="4" name="ICV">
    <vt:lpwstr>9749A0EEDD6B4360BDFCEF9B8DDB91EF</vt:lpwstr>
  </property>
</Properties>
</file>